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4D"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244"/>
        <w:rPr>
          <w:rFonts w:eastAsia="Times New Roman" w:cs="Arial"/>
          <w:szCs w:val="20"/>
        </w:rPr>
      </w:pPr>
      <w:r w:rsidRPr="0016687E">
        <w:rPr>
          <w:rFonts w:eastAsia="Times New Roman" w:cs="Arial"/>
          <w:szCs w:val="20"/>
        </w:rPr>
        <w:t xml:space="preserve">                                                                                              </w:t>
      </w:r>
      <w:r w:rsidR="0060554D" w:rsidRPr="0016687E">
        <w:rPr>
          <w:rFonts w:eastAsia="Times New Roman" w:cs="Arial"/>
          <w:szCs w:val="20"/>
        </w:rPr>
        <w:t xml:space="preserve">                   </w:t>
      </w:r>
    </w:p>
    <w:p w:rsidR="004E4E84" w:rsidRPr="000C3A63" w:rsidRDefault="007B5C4A"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8"/>
          <w:szCs w:val="28"/>
        </w:rPr>
      </w:pPr>
      <w:r>
        <w:rPr>
          <w:rFonts w:eastAsia="Times New Roman" w:cs="Arial"/>
          <w:color w:val="C00000"/>
          <w:sz w:val="28"/>
          <w:szCs w:val="28"/>
        </w:rPr>
        <w:t>Resettlement Policy</w:t>
      </w:r>
      <w:r w:rsidR="004E4E84" w:rsidRPr="000C3A63">
        <w:rPr>
          <w:rFonts w:eastAsia="Times New Roman" w:cs="Arial"/>
          <w:color w:val="C00000"/>
          <w:sz w:val="28"/>
          <w:szCs w:val="28"/>
        </w:rPr>
        <w:t xml:space="preserve"> Framework</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7B5C4A"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Pr>
          <w:rFonts w:eastAsia="Times New Roman" w:cs="Arial"/>
          <w:szCs w:val="20"/>
        </w:rPr>
        <w:t xml:space="preserve">Increasing Resilience to Climate Change and Natural Hazards </w:t>
      </w:r>
      <w:r w:rsidR="00482613">
        <w:rPr>
          <w:rFonts w:eastAsia="Times New Roman" w:cs="Arial"/>
          <w:szCs w:val="20"/>
        </w:rPr>
        <w:t>(IRCCNH)</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Prepared for</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Government of Vanuatu</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Prepared by</w:t>
      </w:r>
    </w:p>
    <w:p w:rsidR="004E4E84" w:rsidRPr="0016687E" w:rsidRDefault="00482613"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Pr>
          <w:rFonts w:eastAsia="Times New Roman" w:cs="Arial"/>
          <w:szCs w:val="20"/>
        </w:rPr>
        <w:t xml:space="preserve">The Project Management Unit (PMU), Ministry of Climate Change and Natural Hazards, Port Vila, Vanuatu </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F58F6" w:rsidRDefault="00FF58F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Pr>
          <w:rFonts w:eastAsia="Times New Roman" w:cs="Arial"/>
          <w:szCs w:val="20"/>
        </w:rPr>
        <w:t>Final</w:t>
      </w:r>
    </w:p>
    <w:p w:rsidR="00FF58F6" w:rsidRDefault="00FF58F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280C1F"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Pr>
          <w:rFonts w:eastAsia="Times New Roman" w:cs="Arial"/>
          <w:szCs w:val="20"/>
        </w:rPr>
        <w:t>June</w:t>
      </w:r>
      <w:r w:rsidR="0056562E">
        <w:rPr>
          <w:rFonts w:eastAsia="Times New Roman" w:cs="Arial"/>
          <w:szCs w:val="20"/>
        </w:rPr>
        <w:t xml:space="preserve"> </w:t>
      </w:r>
      <w:r w:rsidR="00482613">
        <w:rPr>
          <w:rFonts w:eastAsia="Times New Roman" w:cs="Arial"/>
          <w:szCs w:val="20"/>
        </w:rPr>
        <w:t>2017</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280C1F" w:rsidRDefault="00280C1F">
      <w:pPr>
        <w:jc w:val="left"/>
        <w:rPr>
          <w:rFonts w:eastAsia="Times New Roman" w:cs="Arial"/>
          <w:color w:val="C00000"/>
          <w:sz w:val="28"/>
          <w:szCs w:val="28"/>
        </w:rPr>
      </w:pPr>
      <w:r>
        <w:rPr>
          <w:rFonts w:eastAsia="Times New Roman" w:cs="Arial"/>
          <w:color w:val="C00000"/>
          <w:sz w:val="28"/>
          <w:szCs w:val="28"/>
        </w:rPr>
        <w:br w:type="page"/>
      </w:r>
    </w:p>
    <w:p w:rsidR="004E4E84" w:rsidRPr="000C3A63"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8"/>
          <w:szCs w:val="28"/>
        </w:rPr>
      </w:pPr>
      <w:r w:rsidRPr="000C3A63">
        <w:rPr>
          <w:rFonts w:eastAsia="Times New Roman" w:cs="Arial"/>
          <w:color w:val="C00000"/>
          <w:sz w:val="28"/>
          <w:szCs w:val="28"/>
        </w:rPr>
        <w:lastRenderedPageBreak/>
        <w:t>Quality Information</w:t>
      </w:r>
    </w:p>
    <w:p w:rsidR="0097201F" w:rsidRPr="000C3A63" w:rsidRDefault="0097201F"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8"/>
          <w:szCs w:val="28"/>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Document            </w:t>
      </w:r>
      <w:r w:rsidR="00107F63">
        <w:rPr>
          <w:rFonts w:eastAsia="Times New Roman" w:cs="Arial"/>
          <w:szCs w:val="20"/>
        </w:rPr>
        <w:tab/>
      </w:r>
      <w:r w:rsidR="00482613">
        <w:rPr>
          <w:rFonts w:eastAsia="Times New Roman" w:cs="Arial"/>
          <w:szCs w:val="20"/>
        </w:rPr>
        <w:t>Resettlement Policy</w:t>
      </w:r>
      <w:r w:rsidRPr="0016687E">
        <w:rPr>
          <w:rFonts w:eastAsia="Times New Roman" w:cs="Arial"/>
          <w:szCs w:val="20"/>
        </w:rPr>
        <w:t xml:space="preserve"> Framework</w:t>
      </w:r>
      <w:r w:rsidR="0056562E">
        <w:rPr>
          <w:rFonts w:eastAsia="Times New Roman" w:cs="Arial"/>
          <w:szCs w:val="20"/>
        </w:rPr>
        <w:t>, Increasing Resilience to Climate Change and Natural Hazards</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Date                </w:t>
      </w:r>
      <w:r w:rsidR="00107F63">
        <w:rPr>
          <w:rFonts w:eastAsia="Times New Roman" w:cs="Arial"/>
          <w:szCs w:val="20"/>
        </w:rPr>
        <w:tab/>
      </w:r>
      <w:r w:rsidR="00280C1F">
        <w:rPr>
          <w:rFonts w:eastAsia="Times New Roman" w:cs="Arial"/>
          <w:szCs w:val="20"/>
        </w:rPr>
        <w:t>June</w:t>
      </w:r>
      <w:r w:rsidR="0056562E">
        <w:rPr>
          <w:rFonts w:eastAsia="Times New Roman" w:cs="Arial"/>
          <w:szCs w:val="20"/>
        </w:rPr>
        <w:t xml:space="preserve"> </w:t>
      </w:r>
      <w:r w:rsidR="00482613">
        <w:rPr>
          <w:rFonts w:eastAsia="Times New Roman" w:cs="Arial"/>
          <w:szCs w:val="20"/>
        </w:rPr>
        <w:t>2017</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FF58F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Pr>
          <w:rFonts w:eastAsia="Times New Roman" w:cs="Arial"/>
          <w:szCs w:val="20"/>
        </w:rPr>
        <w:t>Prepared</w:t>
      </w:r>
      <w:r w:rsidR="004E4E84" w:rsidRPr="0016687E">
        <w:rPr>
          <w:rFonts w:eastAsia="Times New Roman" w:cs="Arial"/>
          <w:szCs w:val="20"/>
        </w:rPr>
        <w:t xml:space="preserve"> by         </w:t>
      </w:r>
      <w:r w:rsidR="00107F63">
        <w:rPr>
          <w:rFonts w:eastAsia="Times New Roman" w:cs="Arial"/>
          <w:szCs w:val="20"/>
        </w:rPr>
        <w:tab/>
      </w:r>
      <w:r w:rsidR="00482613">
        <w:rPr>
          <w:rFonts w:eastAsia="Times New Roman" w:cs="Arial"/>
          <w:szCs w:val="20"/>
        </w:rPr>
        <w:t xml:space="preserve">Florence </w:t>
      </w:r>
      <w:proofErr w:type="spellStart"/>
      <w:r w:rsidR="00482613">
        <w:rPr>
          <w:rFonts w:eastAsia="Times New Roman" w:cs="Arial"/>
          <w:szCs w:val="20"/>
        </w:rPr>
        <w:t>Iautu</w:t>
      </w:r>
      <w:proofErr w:type="spellEnd"/>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FF58F6"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843"/>
        <w:rPr>
          <w:rFonts w:eastAsia="Times New Roman" w:cs="Arial"/>
          <w:szCs w:val="20"/>
        </w:rPr>
      </w:pPr>
      <w:proofErr w:type="gramStart"/>
      <w:r>
        <w:rPr>
          <w:rFonts w:eastAsia="Times New Roman" w:cs="Arial"/>
          <w:szCs w:val="20"/>
        </w:rPr>
        <w:t>Based on</w:t>
      </w:r>
      <w:r>
        <w:rPr>
          <w:rFonts w:eastAsia="Times New Roman" w:cs="Arial"/>
          <w:szCs w:val="20"/>
        </w:rPr>
        <w:tab/>
      </w:r>
      <w:r>
        <w:rPr>
          <w:rFonts w:eastAsia="Times New Roman" w:cs="Arial"/>
          <w:szCs w:val="20"/>
        </w:rPr>
        <w:tab/>
      </w:r>
      <w:r w:rsidR="004E656E">
        <w:rPr>
          <w:rFonts w:eastAsia="Times New Roman" w:cs="Arial"/>
          <w:szCs w:val="20"/>
        </w:rPr>
        <w:t xml:space="preserve">Land </w:t>
      </w:r>
      <w:proofErr w:type="spellStart"/>
      <w:r w:rsidR="004E656E">
        <w:rPr>
          <w:rFonts w:eastAsia="Times New Roman" w:cs="Arial"/>
          <w:szCs w:val="20"/>
        </w:rPr>
        <w:t>Acquisiton</w:t>
      </w:r>
      <w:proofErr w:type="spellEnd"/>
      <w:r w:rsidR="004E656E">
        <w:rPr>
          <w:rFonts w:eastAsia="Times New Roman" w:cs="Arial"/>
          <w:szCs w:val="20"/>
        </w:rPr>
        <w:t xml:space="preserve"> Framework.</w:t>
      </w:r>
      <w:proofErr w:type="gramEnd"/>
      <w:r w:rsidR="004E656E">
        <w:rPr>
          <w:rFonts w:eastAsia="Times New Roman" w:cs="Arial"/>
          <w:szCs w:val="20"/>
        </w:rPr>
        <w:t xml:space="preserve">  Preparation Stage of the Vanuatu Climate Change Adaptation Project dated 20 March 2012 (disclosed safeguards instrument for the IRCCNH Project)</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Revision History</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1193"/>
        <w:gridCol w:w="1282"/>
        <w:gridCol w:w="3122"/>
        <w:gridCol w:w="3867"/>
      </w:tblGrid>
      <w:tr w:rsidR="00FF58F6" w:rsidRPr="0016687E" w:rsidTr="00FF58F6">
        <w:trPr>
          <w:trHeight w:val="440"/>
        </w:trPr>
        <w:tc>
          <w:tcPr>
            <w:tcW w:w="1193" w:type="dxa"/>
            <w:vMerge w:val="restart"/>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Revision</w:t>
            </w:r>
          </w:p>
        </w:tc>
        <w:tc>
          <w:tcPr>
            <w:tcW w:w="1282" w:type="dxa"/>
            <w:vMerge w:val="restart"/>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r w:rsidRPr="0016687E">
              <w:rPr>
                <w:rFonts w:eastAsia="Times New Roman" w:cs="Arial"/>
                <w:szCs w:val="20"/>
              </w:rPr>
              <w:t>Revision</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r w:rsidRPr="0016687E">
              <w:rPr>
                <w:rFonts w:eastAsia="Times New Roman" w:cs="Arial"/>
                <w:szCs w:val="20"/>
              </w:rPr>
              <w:t>Date</w:t>
            </w:r>
          </w:p>
        </w:tc>
        <w:tc>
          <w:tcPr>
            <w:tcW w:w="3122" w:type="dxa"/>
            <w:vMerge w:val="restart"/>
          </w:tcPr>
          <w:p w:rsidR="00FF58F6" w:rsidRPr="00374B1A"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r w:rsidRPr="0016687E">
              <w:rPr>
                <w:rFonts w:eastAsia="Times New Roman" w:cs="Arial"/>
                <w:szCs w:val="20"/>
              </w:rPr>
              <w:t>Details</w:t>
            </w:r>
          </w:p>
        </w:tc>
        <w:tc>
          <w:tcPr>
            <w:tcW w:w="3867" w:type="dxa"/>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p>
        </w:tc>
      </w:tr>
      <w:tr w:rsidR="00FF58F6" w:rsidRPr="0016687E" w:rsidTr="00FF58F6">
        <w:trPr>
          <w:trHeight w:val="240"/>
        </w:trPr>
        <w:tc>
          <w:tcPr>
            <w:tcW w:w="1193" w:type="dxa"/>
            <w:vMerge/>
            <w:tcBorders>
              <w:bottom w:val="single" w:sz="4" w:space="0" w:color="auto"/>
            </w:tcBorders>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82" w:type="dxa"/>
            <w:vMerge/>
            <w:tcBorders>
              <w:bottom w:val="single" w:sz="4" w:space="0" w:color="auto"/>
            </w:tcBorders>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p>
        </w:tc>
        <w:tc>
          <w:tcPr>
            <w:tcW w:w="3122" w:type="dxa"/>
            <w:vMerge/>
            <w:tcBorders>
              <w:bottom w:val="single" w:sz="4" w:space="0" w:color="auto"/>
            </w:tcBorders>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Pr>
                <w:rFonts w:eastAsia="Times New Roman" w:cs="Arial"/>
                <w:szCs w:val="20"/>
              </w:rPr>
            </w:pPr>
          </w:p>
        </w:tc>
        <w:tc>
          <w:tcPr>
            <w:tcW w:w="3867" w:type="dxa"/>
            <w:tcBorders>
              <w:bottom w:val="single" w:sz="4" w:space="0" w:color="auto"/>
            </w:tcBorders>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Name/Position</w:t>
            </w:r>
          </w:p>
        </w:tc>
      </w:tr>
      <w:tr w:rsidR="00FF58F6" w:rsidRPr="0016687E" w:rsidTr="00FF58F6">
        <w:trPr>
          <w:trHeight w:val="1180"/>
        </w:trPr>
        <w:tc>
          <w:tcPr>
            <w:tcW w:w="1193" w:type="dxa"/>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0</w:t>
            </w:r>
          </w:p>
        </w:tc>
        <w:tc>
          <w:tcPr>
            <w:tcW w:w="1282" w:type="dxa"/>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
              <w:rPr>
                <w:rFonts w:eastAsia="Times New Roman" w:cs="Arial"/>
                <w:szCs w:val="20"/>
              </w:rPr>
            </w:pPr>
            <w:r w:rsidRPr="0016687E">
              <w:rPr>
                <w:rFonts w:eastAsia="Times New Roman" w:cs="Arial"/>
                <w:szCs w:val="20"/>
              </w:rPr>
              <w:t>20-Jan-2011</w:t>
            </w:r>
          </w:p>
        </w:tc>
        <w:tc>
          <w:tcPr>
            <w:tcW w:w="3122" w:type="dxa"/>
          </w:tcPr>
          <w:p w:rsidR="00FF58F6" w:rsidRPr="0016687E" w:rsidRDefault="00FF58F6"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Land Acquisition Framework </w:t>
            </w:r>
            <w:r w:rsidRPr="0016687E">
              <w:rPr>
                <w:rFonts w:eastAsia="Times New Roman" w:cs="Arial"/>
                <w:szCs w:val="20"/>
              </w:rPr>
              <w:t>Draft for Review</w:t>
            </w:r>
          </w:p>
        </w:tc>
        <w:tc>
          <w:tcPr>
            <w:tcW w:w="3867" w:type="dxa"/>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 </w:t>
            </w:r>
            <w:r w:rsidRPr="0016687E">
              <w:rPr>
                <w:rFonts w:eastAsia="Times New Roman" w:cs="Arial"/>
                <w:szCs w:val="20"/>
              </w:rPr>
              <w:t xml:space="preserve">Scott </w:t>
            </w:r>
            <w:proofErr w:type="spellStart"/>
            <w:r w:rsidRPr="0016687E">
              <w:rPr>
                <w:rFonts w:eastAsia="Times New Roman" w:cs="Arial"/>
                <w:szCs w:val="20"/>
              </w:rPr>
              <w:t>Losee</w:t>
            </w:r>
            <w:proofErr w:type="spellEnd"/>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Technical Director -</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Sustainability and</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Climate Change</w:t>
            </w:r>
            <w:r>
              <w:rPr>
                <w:rFonts w:eastAsia="Times New Roman" w:cs="Arial"/>
                <w:szCs w:val="20"/>
              </w:rPr>
              <w:t>, AECOM</w:t>
            </w:r>
          </w:p>
        </w:tc>
      </w:tr>
      <w:tr w:rsidR="00FF58F6" w:rsidRPr="0016687E" w:rsidTr="00FF58F6">
        <w:trPr>
          <w:trHeight w:val="1178"/>
        </w:trPr>
        <w:tc>
          <w:tcPr>
            <w:tcW w:w="1193" w:type="dxa"/>
          </w:tcPr>
          <w:p w:rsidR="00FF58F6" w:rsidRPr="0016687E" w:rsidRDefault="00FF58F6"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 xml:space="preserve">1               </w:t>
            </w:r>
          </w:p>
        </w:tc>
        <w:tc>
          <w:tcPr>
            <w:tcW w:w="1282" w:type="dxa"/>
          </w:tcPr>
          <w:p w:rsidR="00FF58F6" w:rsidRDefault="00FF58F6" w:rsidP="00374B1A">
            <w:pPr>
              <w:rPr>
                <w:rFonts w:eastAsia="Times New Roman" w:cs="Arial"/>
                <w:szCs w:val="20"/>
              </w:rPr>
            </w:pPr>
            <w:r w:rsidRPr="0016687E">
              <w:rPr>
                <w:rFonts w:eastAsia="Times New Roman" w:cs="Arial"/>
                <w:szCs w:val="20"/>
              </w:rPr>
              <w:t xml:space="preserve">03-Feb-2012       </w:t>
            </w:r>
          </w:p>
          <w:p w:rsidR="00FF58F6" w:rsidRDefault="00FF58F6" w:rsidP="00374B1A">
            <w:pPr>
              <w:tabs>
                <w:tab w:val="left" w:pos="855"/>
              </w:tabs>
              <w:rPr>
                <w:rFonts w:eastAsia="Times New Roman" w:cs="Arial"/>
                <w:szCs w:val="20"/>
              </w:rPr>
            </w:pPr>
            <w:r>
              <w:rPr>
                <w:rFonts w:eastAsia="Times New Roman" w:cs="Arial"/>
                <w:szCs w:val="20"/>
              </w:rPr>
              <w:tab/>
            </w:r>
          </w:p>
          <w:p w:rsidR="00FF58F6" w:rsidRPr="003A02B7" w:rsidRDefault="00FF58F6" w:rsidP="003A02B7">
            <w:pPr>
              <w:rPr>
                <w:rFonts w:eastAsia="Times New Roman" w:cs="Arial"/>
                <w:szCs w:val="20"/>
              </w:rPr>
            </w:pPr>
          </w:p>
        </w:tc>
        <w:tc>
          <w:tcPr>
            <w:tcW w:w="3122" w:type="dxa"/>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Land Acquisition Framework </w:t>
            </w:r>
            <w:r w:rsidRPr="0016687E">
              <w:rPr>
                <w:rFonts w:eastAsia="Times New Roman" w:cs="Arial"/>
                <w:szCs w:val="20"/>
              </w:rPr>
              <w:t>Exposure Draft</w:t>
            </w:r>
          </w:p>
        </w:tc>
        <w:tc>
          <w:tcPr>
            <w:tcW w:w="3867" w:type="dxa"/>
          </w:tcPr>
          <w:p w:rsidR="00FF58F6" w:rsidRPr="00374B1A"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 </w:t>
            </w:r>
            <w:r w:rsidRPr="0016687E">
              <w:rPr>
                <w:rFonts w:eastAsia="Times New Roman" w:cs="Arial"/>
                <w:szCs w:val="20"/>
              </w:rPr>
              <w:t xml:space="preserve">Scott </w:t>
            </w:r>
            <w:proofErr w:type="spellStart"/>
            <w:r w:rsidRPr="0016687E">
              <w:rPr>
                <w:rFonts w:eastAsia="Times New Roman" w:cs="Arial"/>
                <w:szCs w:val="20"/>
              </w:rPr>
              <w:t>Losee</w:t>
            </w:r>
            <w:proofErr w:type="spellEnd"/>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Technical Director -</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Sustainability and</w:t>
            </w:r>
          </w:p>
          <w:p w:rsidR="00FF58F6" w:rsidRPr="00374B1A"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Climate Change</w:t>
            </w:r>
            <w:r>
              <w:rPr>
                <w:rFonts w:eastAsia="Times New Roman" w:cs="Arial"/>
                <w:szCs w:val="20"/>
              </w:rPr>
              <w:t>, AECOM</w:t>
            </w:r>
          </w:p>
        </w:tc>
      </w:tr>
      <w:tr w:rsidR="00FF58F6" w:rsidRPr="0016687E" w:rsidTr="00FF58F6">
        <w:trPr>
          <w:trHeight w:val="950"/>
        </w:trPr>
        <w:tc>
          <w:tcPr>
            <w:tcW w:w="1193" w:type="dxa"/>
          </w:tcPr>
          <w:p w:rsidR="00FF58F6" w:rsidRPr="0016687E" w:rsidRDefault="00FF58F6" w:rsidP="006E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 xml:space="preserve">2               </w:t>
            </w:r>
          </w:p>
        </w:tc>
        <w:tc>
          <w:tcPr>
            <w:tcW w:w="1282" w:type="dxa"/>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 xml:space="preserve">10-Feb-2012       </w:t>
            </w:r>
          </w:p>
        </w:tc>
        <w:tc>
          <w:tcPr>
            <w:tcW w:w="3122" w:type="dxa"/>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Land Acquisition Framework </w:t>
            </w:r>
            <w:r w:rsidRPr="0016687E">
              <w:rPr>
                <w:rFonts w:eastAsia="Times New Roman" w:cs="Arial"/>
                <w:szCs w:val="20"/>
              </w:rPr>
              <w:t>Final Draft</w:t>
            </w:r>
          </w:p>
        </w:tc>
        <w:tc>
          <w:tcPr>
            <w:tcW w:w="3867" w:type="dxa"/>
          </w:tcPr>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 </w:t>
            </w:r>
            <w:r w:rsidRPr="0016687E">
              <w:rPr>
                <w:rFonts w:eastAsia="Times New Roman" w:cs="Arial"/>
                <w:szCs w:val="20"/>
              </w:rPr>
              <w:t xml:space="preserve">Scott </w:t>
            </w:r>
            <w:proofErr w:type="spellStart"/>
            <w:r w:rsidRPr="0016687E">
              <w:rPr>
                <w:rFonts w:eastAsia="Times New Roman" w:cs="Arial"/>
                <w:szCs w:val="20"/>
              </w:rPr>
              <w:t>Losee</w:t>
            </w:r>
            <w:proofErr w:type="spellEnd"/>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Technical Director -</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Sustainability and</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Climate Change</w:t>
            </w:r>
            <w:r>
              <w:rPr>
                <w:rFonts w:eastAsia="Times New Roman" w:cs="Arial"/>
                <w:szCs w:val="20"/>
              </w:rPr>
              <w:t>, AECOM</w:t>
            </w:r>
          </w:p>
        </w:tc>
      </w:tr>
      <w:tr w:rsidR="00FF58F6" w:rsidRPr="0016687E" w:rsidTr="00FF58F6">
        <w:trPr>
          <w:trHeight w:val="1150"/>
        </w:trPr>
        <w:tc>
          <w:tcPr>
            <w:tcW w:w="1193" w:type="dxa"/>
          </w:tcPr>
          <w:p w:rsidR="00FF58F6" w:rsidRPr="0016687E" w:rsidRDefault="00FF58F6" w:rsidP="006E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 xml:space="preserve">3               </w:t>
            </w:r>
          </w:p>
        </w:tc>
        <w:tc>
          <w:tcPr>
            <w:tcW w:w="1282" w:type="dxa"/>
          </w:tcPr>
          <w:p w:rsidR="00FF58F6" w:rsidRPr="0016687E"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 xml:space="preserve">19-Mar-2012       </w:t>
            </w:r>
          </w:p>
        </w:tc>
        <w:tc>
          <w:tcPr>
            <w:tcW w:w="3122" w:type="dxa"/>
          </w:tcPr>
          <w:p w:rsidR="00FF58F6"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Land Acquisition Framework </w:t>
            </w:r>
            <w:r w:rsidRPr="0016687E">
              <w:rPr>
                <w:rFonts w:eastAsia="Times New Roman" w:cs="Arial"/>
                <w:szCs w:val="20"/>
              </w:rPr>
              <w:t>Final Report</w:t>
            </w:r>
          </w:p>
          <w:p w:rsidR="00FF58F6" w:rsidRPr="0016687E" w:rsidRDefault="00FF58F6" w:rsidP="0056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Publicly disclosed by NAB. Cleared by World Bank and disclosed on World Bank website.</w:t>
            </w:r>
          </w:p>
        </w:tc>
        <w:tc>
          <w:tcPr>
            <w:tcW w:w="3867" w:type="dxa"/>
          </w:tcPr>
          <w:p w:rsidR="00FF58F6"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 </w:t>
            </w:r>
            <w:r w:rsidRPr="0016687E">
              <w:rPr>
                <w:rFonts w:eastAsia="Times New Roman" w:cs="Arial"/>
                <w:szCs w:val="20"/>
              </w:rPr>
              <w:t xml:space="preserve">Scott </w:t>
            </w:r>
            <w:proofErr w:type="spellStart"/>
            <w:r w:rsidRPr="0016687E">
              <w:rPr>
                <w:rFonts w:eastAsia="Times New Roman" w:cs="Arial"/>
                <w:szCs w:val="20"/>
              </w:rPr>
              <w:t>Losee</w:t>
            </w:r>
            <w:proofErr w:type="spellEnd"/>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 xml:space="preserve">Technical Director </w:t>
            </w:r>
            <w:r>
              <w:rPr>
                <w:rFonts w:eastAsia="Times New Roman" w:cs="Arial"/>
                <w:szCs w:val="20"/>
              </w:rPr>
              <w:t>–</w:t>
            </w:r>
          </w:p>
          <w:p w:rsidR="00FF58F6" w:rsidRPr="0016687E"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Sustainability and</w:t>
            </w:r>
          </w:p>
          <w:p w:rsidR="00FF58F6"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eastAsia="Times New Roman" w:cs="Arial"/>
                <w:szCs w:val="20"/>
              </w:rPr>
            </w:pPr>
            <w:r w:rsidRPr="0016687E">
              <w:rPr>
                <w:rFonts w:eastAsia="Times New Roman" w:cs="Arial"/>
                <w:szCs w:val="20"/>
              </w:rPr>
              <w:t>Climate Change</w:t>
            </w:r>
            <w:r>
              <w:rPr>
                <w:rFonts w:eastAsia="Times New Roman" w:cs="Arial"/>
                <w:szCs w:val="20"/>
              </w:rPr>
              <w:t>, AECOM</w:t>
            </w:r>
          </w:p>
          <w:p w:rsidR="00FF58F6" w:rsidRPr="00374B1A" w:rsidRDefault="00FF58F6" w:rsidP="00374B1A">
            <w:pPr>
              <w:rPr>
                <w:rFonts w:eastAsia="Times New Roman" w:cs="Arial"/>
                <w:szCs w:val="20"/>
              </w:rPr>
            </w:pPr>
          </w:p>
        </w:tc>
      </w:tr>
      <w:tr w:rsidR="00FF58F6" w:rsidRPr="0016687E" w:rsidTr="00FF58F6">
        <w:trPr>
          <w:trHeight w:val="1150"/>
        </w:trPr>
        <w:tc>
          <w:tcPr>
            <w:tcW w:w="1193" w:type="dxa"/>
          </w:tcPr>
          <w:p w:rsidR="00FF58F6" w:rsidRPr="00FF58F6" w:rsidRDefault="00FF58F6" w:rsidP="006E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4</w:t>
            </w:r>
          </w:p>
          <w:p w:rsidR="00FF58F6" w:rsidRPr="00FF58F6" w:rsidRDefault="00FF58F6" w:rsidP="00FF58F6">
            <w:pPr>
              <w:tabs>
                <w:tab w:val="left" w:pos="916"/>
              </w:tabs>
              <w:rPr>
                <w:rFonts w:eastAsia="Times New Roman" w:cs="Arial"/>
                <w:szCs w:val="20"/>
              </w:rPr>
            </w:pPr>
            <w:r w:rsidRPr="00FF58F6">
              <w:rPr>
                <w:rFonts w:eastAsia="Times New Roman" w:cs="Arial"/>
                <w:szCs w:val="20"/>
              </w:rPr>
              <w:tab/>
            </w:r>
          </w:p>
        </w:tc>
        <w:tc>
          <w:tcPr>
            <w:tcW w:w="1282" w:type="dxa"/>
          </w:tcPr>
          <w:p w:rsidR="00FF58F6" w:rsidRPr="00FF58F6"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April 2017</w:t>
            </w:r>
          </w:p>
        </w:tc>
        <w:tc>
          <w:tcPr>
            <w:tcW w:w="3122" w:type="dxa"/>
          </w:tcPr>
          <w:p w:rsidR="00FF58F6" w:rsidRPr="00FF58F6"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Resettlement Policy Framework Review Draft</w:t>
            </w:r>
          </w:p>
        </w:tc>
        <w:tc>
          <w:tcPr>
            <w:tcW w:w="3867" w:type="dxa"/>
          </w:tcPr>
          <w:p w:rsidR="00FF58F6" w:rsidRPr="00FF58F6"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Brian Phillips, IRCCNH PMU Manager.</w:t>
            </w:r>
          </w:p>
          <w:p w:rsidR="00FF58F6" w:rsidRPr="00FF58F6" w:rsidRDefault="00FF58F6" w:rsidP="004026E0">
            <w:pPr>
              <w:jc w:val="center"/>
              <w:rPr>
                <w:rFonts w:eastAsia="Times New Roman" w:cs="Arial"/>
                <w:szCs w:val="20"/>
              </w:rPr>
            </w:pPr>
          </w:p>
        </w:tc>
      </w:tr>
      <w:tr w:rsidR="00FF58F6" w:rsidRPr="0016687E" w:rsidTr="00FF58F6">
        <w:trPr>
          <w:trHeight w:val="1150"/>
        </w:trPr>
        <w:tc>
          <w:tcPr>
            <w:tcW w:w="1193" w:type="dxa"/>
          </w:tcPr>
          <w:p w:rsidR="00FF58F6" w:rsidRPr="00FF58F6" w:rsidRDefault="00FF58F6" w:rsidP="006E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5</w:t>
            </w:r>
          </w:p>
        </w:tc>
        <w:tc>
          <w:tcPr>
            <w:tcW w:w="1282" w:type="dxa"/>
          </w:tcPr>
          <w:p w:rsidR="00FF58F6" w:rsidRPr="00FF58F6" w:rsidRDefault="00FF58F6"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May 2017</w:t>
            </w:r>
          </w:p>
        </w:tc>
        <w:tc>
          <w:tcPr>
            <w:tcW w:w="3122" w:type="dxa"/>
          </w:tcPr>
          <w:p w:rsidR="00FF58F6" w:rsidRPr="00FF58F6" w:rsidRDefault="00FF58F6" w:rsidP="0056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Final Report</w:t>
            </w:r>
          </w:p>
          <w:p w:rsidR="00FF58F6" w:rsidRPr="00FF58F6" w:rsidRDefault="00FF58F6" w:rsidP="0028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 xml:space="preserve">Publicly disclosed by NAB. </w:t>
            </w:r>
          </w:p>
        </w:tc>
        <w:tc>
          <w:tcPr>
            <w:tcW w:w="3867" w:type="dxa"/>
          </w:tcPr>
          <w:p w:rsidR="00FF58F6" w:rsidRPr="00FF58F6"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FF58F6" w:rsidRPr="00FF58F6" w:rsidRDefault="00FF58F6"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Brian Phillips, PMU Manager</w:t>
            </w:r>
          </w:p>
        </w:tc>
      </w:tr>
      <w:tr w:rsidR="00280C1F" w:rsidRPr="0016687E" w:rsidTr="00FF58F6">
        <w:trPr>
          <w:trHeight w:val="1150"/>
        </w:trPr>
        <w:tc>
          <w:tcPr>
            <w:tcW w:w="1193" w:type="dxa"/>
          </w:tcPr>
          <w:p w:rsidR="00280C1F" w:rsidRPr="00FF58F6" w:rsidRDefault="00280C1F" w:rsidP="006E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6</w:t>
            </w:r>
          </w:p>
        </w:tc>
        <w:tc>
          <w:tcPr>
            <w:tcW w:w="1282" w:type="dxa"/>
          </w:tcPr>
          <w:p w:rsidR="00280C1F" w:rsidRPr="00FF58F6" w:rsidRDefault="00280C1F" w:rsidP="0097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June 2017</w:t>
            </w:r>
          </w:p>
        </w:tc>
        <w:tc>
          <w:tcPr>
            <w:tcW w:w="3122" w:type="dxa"/>
          </w:tcPr>
          <w:p w:rsidR="00280C1F" w:rsidRPr="00FF58F6" w:rsidRDefault="00280C1F" w:rsidP="0028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Final Report</w:t>
            </w:r>
            <w:r>
              <w:rPr>
                <w:rFonts w:eastAsia="Times New Roman" w:cs="Arial"/>
                <w:szCs w:val="20"/>
              </w:rPr>
              <w:t>, responding to minor comments from World Bank on Voluntary Land Donation.</w:t>
            </w:r>
          </w:p>
          <w:p w:rsidR="00280C1F" w:rsidRPr="00FF58F6" w:rsidRDefault="00280C1F" w:rsidP="0028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Publicly disclosed by NAB. Cleared by World Bank and disclosed on World Bank website.</w:t>
            </w:r>
          </w:p>
        </w:tc>
        <w:tc>
          <w:tcPr>
            <w:tcW w:w="3867" w:type="dxa"/>
          </w:tcPr>
          <w:p w:rsidR="00280C1F" w:rsidRPr="00FF58F6" w:rsidRDefault="00280C1F" w:rsidP="0037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F58F6">
              <w:rPr>
                <w:rFonts w:eastAsia="Times New Roman" w:cs="Arial"/>
                <w:szCs w:val="20"/>
              </w:rPr>
              <w:t>Brian Phillips, PMU Manager</w:t>
            </w:r>
          </w:p>
        </w:tc>
      </w:tr>
    </w:tbl>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6562E" w:rsidRDefault="0056562E"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8"/>
          <w:szCs w:val="28"/>
        </w:rPr>
      </w:pPr>
      <w:r>
        <w:rPr>
          <w:rFonts w:eastAsia="Times New Roman" w:cs="Arial"/>
          <w:color w:val="C00000"/>
          <w:sz w:val="28"/>
          <w:szCs w:val="28"/>
        </w:rPr>
        <w:br w:type="page"/>
      </w:r>
    </w:p>
    <w:p w:rsidR="004E4E84"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8"/>
          <w:szCs w:val="28"/>
        </w:rPr>
      </w:pPr>
      <w:r w:rsidRPr="000C3A63">
        <w:rPr>
          <w:rFonts w:eastAsia="Times New Roman" w:cs="Arial"/>
          <w:color w:val="C00000"/>
          <w:sz w:val="28"/>
          <w:szCs w:val="28"/>
        </w:rPr>
        <w:lastRenderedPageBreak/>
        <w:t>Table of Contents</w:t>
      </w:r>
    </w:p>
    <w:p w:rsidR="0056562E" w:rsidRPr="000C3A63" w:rsidRDefault="0056562E"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8"/>
          <w:szCs w:val="28"/>
        </w:rPr>
      </w:pPr>
    </w:p>
    <w:p w:rsidR="00A01ADF" w:rsidRDefault="00976FBF">
      <w:pPr>
        <w:pStyle w:val="TOC1"/>
        <w:tabs>
          <w:tab w:val="right" w:leader="dot" w:pos="9350"/>
        </w:tabs>
        <w:rPr>
          <w:rFonts w:asciiTheme="minorHAnsi" w:eastAsiaTheme="minorEastAsia" w:hAnsiTheme="minorHAnsi"/>
          <w:noProof/>
          <w:sz w:val="22"/>
          <w:lang w:val="en-NZ" w:eastAsia="en-NZ"/>
        </w:rPr>
      </w:pPr>
      <w:r>
        <w:rPr>
          <w:rFonts w:eastAsia="Times New Roman" w:cs="Arial"/>
          <w:color w:val="C00000"/>
          <w:szCs w:val="20"/>
        </w:rPr>
        <w:fldChar w:fldCharType="begin"/>
      </w:r>
      <w:r>
        <w:rPr>
          <w:rFonts w:eastAsia="Times New Roman" w:cs="Arial"/>
          <w:color w:val="C00000"/>
          <w:szCs w:val="20"/>
        </w:rPr>
        <w:instrText xml:space="preserve"> TOC \o "1-2" \h \z \t "Appendix Title,1" </w:instrText>
      </w:r>
      <w:r>
        <w:rPr>
          <w:rFonts w:eastAsia="Times New Roman" w:cs="Arial"/>
          <w:color w:val="C00000"/>
          <w:szCs w:val="20"/>
        </w:rPr>
        <w:fldChar w:fldCharType="separate"/>
      </w:r>
      <w:hyperlink w:anchor="_Toc483323520" w:history="1">
        <w:r w:rsidR="00A01ADF" w:rsidRPr="0093799A">
          <w:rPr>
            <w:rStyle w:val="Hyperlink"/>
            <w:noProof/>
          </w:rPr>
          <w:t>Definitions</w:t>
        </w:r>
        <w:r w:rsidR="00A01ADF">
          <w:rPr>
            <w:noProof/>
            <w:webHidden/>
          </w:rPr>
          <w:tab/>
        </w:r>
        <w:r w:rsidR="00A01ADF">
          <w:rPr>
            <w:noProof/>
            <w:webHidden/>
          </w:rPr>
          <w:fldChar w:fldCharType="begin"/>
        </w:r>
        <w:r w:rsidR="00A01ADF">
          <w:rPr>
            <w:noProof/>
            <w:webHidden/>
          </w:rPr>
          <w:instrText xml:space="preserve"> PAGEREF _Toc483323520 \h </w:instrText>
        </w:r>
        <w:r w:rsidR="00A01ADF">
          <w:rPr>
            <w:noProof/>
            <w:webHidden/>
          </w:rPr>
        </w:r>
        <w:r w:rsidR="00A01ADF">
          <w:rPr>
            <w:noProof/>
            <w:webHidden/>
          </w:rPr>
          <w:fldChar w:fldCharType="separate"/>
        </w:r>
        <w:r w:rsidR="00A01ADF">
          <w:rPr>
            <w:noProof/>
            <w:webHidden/>
          </w:rPr>
          <w:t>5</w:t>
        </w:r>
        <w:r w:rsidR="00A01ADF">
          <w:rPr>
            <w:noProof/>
            <w:webHidden/>
          </w:rPr>
          <w:fldChar w:fldCharType="end"/>
        </w:r>
      </w:hyperlink>
    </w:p>
    <w:p w:rsidR="00A01ADF" w:rsidRDefault="002A2C61">
      <w:pPr>
        <w:pStyle w:val="TOC1"/>
        <w:tabs>
          <w:tab w:val="right" w:leader="dot" w:pos="9350"/>
        </w:tabs>
        <w:rPr>
          <w:rFonts w:asciiTheme="minorHAnsi" w:eastAsiaTheme="minorEastAsia" w:hAnsiTheme="minorHAnsi"/>
          <w:noProof/>
          <w:sz w:val="22"/>
          <w:lang w:val="en-NZ" w:eastAsia="en-NZ"/>
        </w:rPr>
      </w:pPr>
      <w:hyperlink w:anchor="_Toc483323521" w:history="1">
        <w:r w:rsidR="00A01ADF" w:rsidRPr="0093799A">
          <w:rPr>
            <w:rStyle w:val="Hyperlink"/>
            <w:noProof/>
          </w:rPr>
          <w:t>Acronyms</w:t>
        </w:r>
        <w:r w:rsidR="00A01ADF">
          <w:rPr>
            <w:noProof/>
            <w:webHidden/>
          </w:rPr>
          <w:tab/>
        </w:r>
        <w:r w:rsidR="00A01ADF">
          <w:rPr>
            <w:noProof/>
            <w:webHidden/>
          </w:rPr>
          <w:fldChar w:fldCharType="begin"/>
        </w:r>
        <w:r w:rsidR="00A01ADF">
          <w:rPr>
            <w:noProof/>
            <w:webHidden/>
          </w:rPr>
          <w:instrText xml:space="preserve"> PAGEREF _Toc483323521 \h </w:instrText>
        </w:r>
        <w:r w:rsidR="00A01ADF">
          <w:rPr>
            <w:noProof/>
            <w:webHidden/>
          </w:rPr>
        </w:r>
        <w:r w:rsidR="00A01ADF">
          <w:rPr>
            <w:noProof/>
            <w:webHidden/>
          </w:rPr>
          <w:fldChar w:fldCharType="separate"/>
        </w:r>
        <w:r w:rsidR="00A01ADF">
          <w:rPr>
            <w:noProof/>
            <w:webHidden/>
          </w:rPr>
          <w:t>6</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22" w:history="1">
        <w:r w:rsidR="00A01ADF" w:rsidRPr="0093799A">
          <w:rPr>
            <w:rStyle w:val="Hyperlink"/>
            <w:noProof/>
          </w:rPr>
          <w:t>1</w:t>
        </w:r>
        <w:r w:rsidR="00A01ADF">
          <w:rPr>
            <w:rFonts w:asciiTheme="minorHAnsi" w:eastAsiaTheme="minorEastAsia" w:hAnsiTheme="minorHAnsi"/>
            <w:noProof/>
            <w:sz w:val="22"/>
            <w:lang w:val="en-NZ" w:eastAsia="en-NZ"/>
          </w:rPr>
          <w:tab/>
        </w:r>
        <w:r w:rsidR="00A01ADF" w:rsidRPr="0093799A">
          <w:rPr>
            <w:rStyle w:val="Hyperlink"/>
            <w:noProof/>
          </w:rPr>
          <w:t>Land Acquisition and World Bank OP4.12 Objectives</w:t>
        </w:r>
        <w:r w:rsidR="00A01ADF">
          <w:rPr>
            <w:noProof/>
            <w:webHidden/>
          </w:rPr>
          <w:tab/>
        </w:r>
        <w:r w:rsidR="00A01ADF">
          <w:rPr>
            <w:noProof/>
            <w:webHidden/>
          </w:rPr>
          <w:fldChar w:fldCharType="begin"/>
        </w:r>
        <w:r w:rsidR="00A01ADF">
          <w:rPr>
            <w:noProof/>
            <w:webHidden/>
          </w:rPr>
          <w:instrText xml:space="preserve"> PAGEREF _Toc483323522 \h </w:instrText>
        </w:r>
        <w:r w:rsidR="00A01ADF">
          <w:rPr>
            <w:noProof/>
            <w:webHidden/>
          </w:rPr>
        </w:r>
        <w:r w:rsidR="00A01ADF">
          <w:rPr>
            <w:noProof/>
            <w:webHidden/>
          </w:rPr>
          <w:fldChar w:fldCharType="separate"/>
        </w:r>
        <w:r w:rsidR="00A01ADF">
          <w:rPr>
            <w:noProof/>
            <w:webHidden/>
          </w:rPr>
          <w:t>7</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3" w:history="1">
        <w:r w:rsidR="00A01ADF" w:rsidRPr="0093799A">
          <w:rPr>
            <w:rStyle w:val="Hyperlink"/>
            <w:noProof/>
          </w:rPr>
          <w:t>1.1</w:t>
        </w:r>
        <w:r w:rsidR="00A01ADF">
          <w:rPr>
            <w:rFonts w:asciiTheme="minorHAnsi" w:eastAsiaTheme="minorEastAsia" w:hAnsiTheme="minorHAnsi"/>
            <w:noProof/>
            <w:sz w:val="22"/>
            <w:lang w:val="en-NZ" w:eastAsia="en-NZ"/>
          </w:rPr>
          <w:tab/>
        </w:r>
        <w:r w:rsidR="00A01ADF" w:rsidRPr="0093799A">
          <w:rPr>
            <w:rStyle w:val="Hyperlink"/>
            <w:noProof/>
          </w:rPr>
          <w:t>World Bank OP4.12 Objectives</w:t>
        </w:r>
        <w:r w:rsidR="00A01ADF">
          <w:rPr>
            <w:noProof/>
            <w:webHidden/>
          </w:rPr>
          <w:tab/>
        </w:r>
        <w:r w:rsidR="00A01ADF">
          <w:rPr>
            <w:noProof/>
            <w:webHidden/>
          </w:rPr>
          <w:fldChar w:fldCharType="begin"/>
        </w:r>
        <w:r w:rsidR="00A01ADF">
          <w:rPr>
            <w:noProof/>
            <w:webHidden/>
          </w:rPr>
          <w:instrText xml:space="preserve"> PAGEREF _Toc483323523 \h </w:instrText>
        </w:r>
        <w:r w:rsidR="00A01ADF">
          <w:rPr>
            <w:noProof/>
            <w:webHidden/>
          </w:rPr>
        </w:r>
        <w:r w:rsidR="00A01ADF">
          <w:rPr>
            <w:noProof/>
            <w:webHidden/>
          </w:rPr>
          <w:fldChar w:fldCharType="separate"/>
        </w:r>
        <w:r w:rsidR="00A01ADF">
          <w:rPr>
            <w:noProof/>
            <w:webHidden/>
          </w:rPr>
          <w:t>7</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4" w:history="1">
        <w:r w:rsidR="00A01ADF" w:rsidRPr="0093799A">
          <w:rPr>
            <w:rStyle w:val="Hyperlink"/>
            <w:noProof/>
          </w:rPr>
          <w:t>1.2</w:t>
        </w:r>
        <w:r w:rsidR="00A01ADF">
          <w:rPr>
            <w:rFonts w:asciiTheme="minorHAnsi" w:eastAsiaTheme="minorEastAsia" w:hAnsiTheme="minorHAnsi"/>
            <w:noProof/>
            <w:sz w:val="22"/>
            <w:lang w:val="en-NZ" w:eastAsia="en-NZ"/>
          </w:rPr>
          <w:tab/>
        </w:r>
        <w:r w:rsidR="00A01ADF" w:rsidRPr="0093799A">
          <w:rPr>
            <w:rStyle w:val="Hyperlink"/>
            <w:noProof/>
          </w:rPr>
          <w:t>RPF</w:t>
        </w:r>
        <w:r w:rsidR="00A01ADF">
          <w:rPr>
            <w:noProof/>
            <w:webHidden/>
          </w:rPr>
          <w:tab/>
        </w:r>
        <w:r w:rsidR="00A01ADF">
          <w:rPr>
            <w:noProof/>
            <w:webHidden/>
          </w:rPr>
          <w:fldChar w:fldCharType="begin"/>
        </w:r>
        <w:r w:rsidR="00A01ADF">
          <w:rPr>
            <w:noProof/>
            <w:webHidden/>
          </w:rPr>
          <w:instrText xml:space="preserve"> PAGEREF _Toc483323524 \h </w:instrText>
        </w:r>
        <w:r w:rsidR="00A01ADF">
          <w:rPr>
            <w:noProof/>
            <w:webHidden/>
          </w:rPr>
        </w:r>
        <w:r w:rsidR="00A01ADF">
          <w:rPr>
            <w:noProof/>
            <w:webHidden/>
          </w:rPr>
          <w:fldChar w:fldCharType="separate"/>
        </w:r>
        <w:r w:rsidR="00A01ADF">
          <w:rPr>
            <w:noProof/>
            <w:webHidden/>
          </w:rPr>
          <w:t>7</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25" w:history="1">
        <w:r w:rsidR="00A01ADF" w:rsidRPr="0093799A">
          <w:rPr>
            <w:rStyle w:val="Hyperlink"/>
            <w:noProof/>
          </w:rPr>
          <w:t>2</w:t>
        </w:r>
        <w:r w:rsidR="00A01ADF">
          <w:rPr>
            <w:rFonts w:asciiTheme="minorHAnsi" w:eastAsiaTheme="minorEastAsia" w:hAnsiTheme="minorHAnsi"/>
            <w:noProof/>
            <w:sz w:val="22"/>
            <w:lang w:val="en-NZ" w:eastAsia="en-NZ"/>
          </w:rPr>
          <w:tab/>
        </w:r>
        <w:r w:rsidR="00A01ADF" w:rsidRPr="0093799A">
          <w:rPr>
            <w:rStyle w:val="Hyperlink"/>
            <w:noProof/>
          </w:rPr>
          <w:t>Introduction</w:t>
        </w:r>
        <w:r w:rsidR="00A01ADF">
          <w:rPr>
            <w:noProof/>
            <w:webHidden/>
          </w:rPr>
          <w:tab/>
        </w:r>
        <w:r w:rsidR="00A01ADF">
          <w:rPr>
            <w:noProof/>
            <w:webHidden/>
          </w:rPr>
          <w:fldChar w:fldCharType="begin"/>
        </w:r>
        <w:r w:rsidR="00A01ADF">
          <w:rPr>
            <w:noProof/>
            <w:webHidden/>
          </w:rPr>
          <w:instrText xml:space="preserve"> PAGEREF _Toc483323525 \h </w:instrText>
        </w:r>
        <w:r w:rsidR="00A01ADF">
          <w:rPr>
            <w:noProof/>
            <w:webHidden/>
          </w:rPr>
        </w:r>
        <w:r w:rsidR="00A01ADF">
          <w:rPr>
            <w:noProof/>
            <w:webHidden/>
          </w:rPr>
          <w:fldChar w:fldCharType="separate"/>
        </w:r>
        <w:r w:rsidR="00A01ADF">
          <w:rPr>
            <w:noProof/>
            <w:webHidden/>
          </w:rPr>
          <w:t>9</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6" w:history="1">
        <w:r w:rsidR="00A01ADF" w:rsidRPr="0093799A">
          <w:rPr>
            <w:rStyle w:val="Hyperlink"/>
            <w:noProof/>
          </w:rPr>
          <w:t>2.1</w:t>
        </w:r>
        <w:r w:rsidR="00A01ADF">
          <w:rPr>
            <w:rFonts w:asciiTheme="minorHAnsi" w:eastAsiaTheme="minorEastAsia" w:hAnsiTheme="minorHAnsi"/>
            <w:noProof/>
            <w:sz w:val="22"/>
            <w:lang w:val="en-NZ" w:eastAsia="en-NZ"/>
          </w:rPr>
          <w:tab/>
        </w:r>
        <w:r w:rsidR="00A01ADF" w:rsidRPr="0093799A">
          <w:rPr>
            <w:rStyle w:val="Hyperlink"/>
            <w:noProof/>
          </w:rPr>
          <w:t>Project Background</w:t>
        </w:r>
        <w:r w:rsidR="00A01ADF">
          <w:rPr>
            <w:noProof/>
            <w:webHidden/>
          </w:rPr>
          <w:tab/>
        </w:r>
        <w:r w:rsidR="00A01ADF">
          <w:rPr>
            <w:noProof/>
            <w:webHidden/>
          </w:rPr>
          <w:fldChar w:fldCharType="begin"/>
        </w:r>
        <w:r w:rsidR="00A01ADF">
          <w:rPr>
            <w:noProof/>
            <w:webHidden/>
          </w:rPr>
          <w:instrText xml:space="preserve"> PAGEREF _Toc483323526 \h </w:instrText>
        </w:r>
        <w:r w:rsidR="00A01ADF">
          <w:rPr>
            <w:noProof/>
            <w:webHidden/>
          </w:rPr>
        </w:r>
        <w:r w:rsidR="00A01ADF">
          <w:rPr>
            <w:noProof/>
            <w:webHidden/>
          </w:rPr>
          <w:fldChar w:fldCharType="separate"/>
        </w:r>
        <w:r w:rsidR="00A01ADF">
          <w:rPr>
            <w:noProof/>
            <w:webHidden/>
          </w:rPr>
          <w:t>9</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7" w:history="1">
        <w:r w:rsidR="00A01ADF" w:rsidRPr="0093799A">
          <w:rPr>
            <w:rStyle w:val="Hyperlink"/>
            <w:noProof/>
          </w:rPr>
          <w:t>2.2</w:t>
        </w:r>
        <w:r w:rsidR="00A01ADF">
          <w:rPr>
            <w:rFonts w:asciiTheme="minorHAnsi" w:eastAsiaTheme="minorEastAsia" w:hAnsiTheme="minorHAnsi"/>
            <w:noProof/>
            <w:sz w:val="22"/>
            <w:lang w:val="en-NZ" w:eastAsia="en-NZ"/>
          </w:rPr>
          <w:tab/>
        </w:r>
        <w:r w:rsidR="00A01ADF" w:rsidRPr="0093799A">
          <w:rPr>
            <w:rStyle w:val="Hyperlink"/>
            <w:noProof/>
          </w:rPr>
          <w:t>Implementation Arrangements</w:t>
        </w:r>
        <w:r w:rsidR="00A01ADF">
          <w:rPr>
            <w:noProof/>
            <w:webHidden/>
          </w:rPr>
          <w:tab/>
        </w:r>
        <w:r w:rsidR="00A01ADF">
          <w:rPr>
            <w:noProof/>
            <w:webHidden/>
          </w:rPr>
          <w:fldChar w:fldCharType="begin"/>
        </w:r>
        <w:r w:rsidR="00A01ADF">
          <w:rPr>
            <w:noProof/>
            <w:webHidden/>
          </w:rPr>
          <w:instrText xml:space="preserve"> PAGEREF _Toc483323527 \h </w:instrText>
        </w:r>
        <w:r w:rsidR="00A01ADF">
          <w:rPr>
            <w:noProof/>
            <w:webHidden/>
          </w:rPr>
        </w:r>
        <w:r w:rsidR="00A01ADF">
          <w:rPr>
            <w:noProof/>
            <w:webHidden/>
          </w:rPr>
          <w:fldChar w:fldCharType="separate"/>
        </w:r>
        <w:r w:rsidR="00A01ADF">
          <w:rPr>
            <w:noProof/>
            <w:webHidden/>
          </w:rPr>
          <w:t>10</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8" w:history="1">
        <w:r w:rsidR="00A01ADF" w:rsidRPr="0093799A">
          <w:rPr>
            <w:rStyle w:val="Hyperlink"/>
            <w:noProof/>
          </w:rPr>
          <w:t>2.3</w:t>
        </w:r>
        <w:r w:rsidR="00A01ADF">
          <w:rPr>
            <w:rFonts w:asciiTheme="minorHAnsi" w:eastAsiaTheme="minorEastAsia" w:hAnsiTheme="minorHAnsi"/>
            <w:noProof/>
            <w:sz w:val="22"/>
            <w:lang w:val="en-NZ" w:eastAsia="en-NZ"/>
          </w:rPr>
          <w:tab/>
        </w:r>
        <w:r w:rsidR="00A01ADF" w:rsidRPr="0093799A">
          <w:rPr>
            <w:rStyle w:val="Hyperlink"/>
            <w:noProof/>
          </w:rPr>
          <w:t>Project Components</w:t>
        </w:r>
        <w:r w:rsidR="00A01ADF">
          <w:rPr>
            <w:noProof/>
            <w:webHidden/>
          </w:rPr>
          <w:tab/>
        </w:r>
        <w:r w:rsidR="00A01ADF">
          <w:rPr>
            <w:noProof/>
            <w:webHidden/>
          </w:rPr>
          <w:fldChar w:fldCharType="begin"/>
        </w:r>
        <w:r w:rsidR="00A01ADF">
          <w:rPr>
            <w:noProof/>
            <w:webHidden/>
          </w:rPr>
          <w:instrText xml:space="preserve"> PAGEREF _Toc483323528 \h </w:instrText>
        </w:r>
        <w:r w:rsidR="00A01ADF">
          <w:rPr>
            <w:noProof/>
            <w:webHidden/>
          </w:rPr>
        </w:r>
        <w:r w:rsidR="00A01ADF">
          <w:rPr>
            <w:noProof/>
            <w:webHidden/>
          </w:rPr>
          <w:fldChar w:fldCharType="separate"/>
        </w:r>
        <w:r w:rsidR="00A01ADF">
          <w:rPr>
            <w:noProof/>
            <w:webHidden/>
          </w:rPr>
          <w:t>11</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29" w:history="1">
        <w:r w:rsidR="00A01ADF" w:rsidRPr="0093799A">
          <w:rPr>
            <w:rStyle w:val="Hyperlink"/>
            <w:noProof/>
          </w:rPr>
          <w:t>2.4</w:t>
        </w:r>
        <w:r w:rsidR="00A01ADF">
          <w:rPr>
            <w:rFonts w:asciiTheme="minorHAnsi" w:eastAsiaTheme="minorEastAsia" w:hAnsiTheme="minorHAnsi"/>
            <w:noProof/>
            <w:sz w:val="22"/>
            <w:lang w:val="en-NZ" w:eastAsia="en-NZ"/>
          </w:rPr>
          <w:tab/>
        </w:r>
        <w:r w:rsidR="00A01ADF" w:rsidRPr="0093799A">
          <w:rPr>
            <w:rStyle w:val="Hyperlink"/>
            <w:noProof/>
          </w:rPr>
          <w:t>Typologies of Micro-Projects</w:t>
        </w:r>
        <w:r w:rsidR="00A01ADF">
          <w:rPr>
            <w:noProof/>
            <w:webHidden/>
          </w:rPr>
          <w:tab/>
        </w:r>
        <w:r w:rsidR="00A01ADF">
          <w:rPr>
            <w:noProof/>
            <w:webHidden/>
          </w:rPr>
          <w:fldChar w:fldCharType="begin"/>
        </w:r>
        <w:r w:rsidR="00A01ADF">
          <w:rPr>
            <w:noProof/>
            <w:webHidden/>
          </w:rPr>
          <w:instrText xml:space="preserve"> PAGEREF _Toc483323529 \h </w:instrText>
        </w:r>
        <w:r w:rsidR="00A01ADF">
          <w:rPr>
            <w:noProof/>
            <w:webHidden/>
          </w:rPr>
        </w:r>
        <w:r w:rsidR="00A01ADF">
          <w:rPr>
            <w:noProof/>
            <w:webHidden/>
          </w:rPr>
          <w:fldChar w:fldCharType="separate"/>
        </w:r>
        <w:r w:rsidR="00A01ADF">
          <w:rPr>
            <w:noProof/>
            <w:webHidden/>
          </w:rPr>
          <w:t>11</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0" w:history="1">
        <w:r w:rsidR="00A01ADF" w:rsidRPr="0093799A">
          <w:rPr>
            <w:rStyle w:val="Hyperlink"/>
            <w:noProof/>
          </w:rPr>
          <w:t>2.5</w:t>
        </w:r>
        <w:r w:rsidR="00A01ADF">
          <w:rPr>
            <w:rFonts w:asciiTheme="minorHAnsi" w:eastAsiaTheme="minorEastAsia" w:hAnsiTheme="minorHAnsi"/>
            <w:noProof/>
            <w:sz w:val="22"/>
            <w:lang w:val="en-NZ" w:eastAsia="en-NZ"/>
          </w:rPr>
          <w:tab/>
        </w:r>
        <w:r w:rsidR="00A01ADF" w:rsidRPr="0093799A">
          <w:rPr>
            <w:rStyle w:val="Hyperlink"/>
            <w:noProof/>
          </w:rPr>
          <w:t>Project Typologies</w:t>
        </w:r>
        <w:r w:rsidR="00A01ADF">
          <w:rPr>
            <w:noProof/>
            <w:webHidden/>
          </w:rPr>
          <w:tab/>
        </w:r>
        <w:r w:rsidR="00A01ADF">
          <w:rPr>
            <w:noProof/>
            <w:webHidden/>
          </w:rPr>
          <w:fldChar w:fldCharType="begin"/>
        </w:r>
        <w:r w:rsidR="00A01ADF">
          <w:rPr>
            <w:noProof/>
            <w:webHidden/>
          </w:rPr>
          <w:instrText xml:space="preserve"> PAGEREF _Toc483323530 \h </w:instrText>
        </w:r>
        <w:r w:rsidR="00A01ADF">
          <w:rPr>
            <w:noProof/>
            <w:webHidden/>
          </w:rPr>
        </w:r>
        <w:r w:rsidR="00A01ADF">
          <w:rPr>
            <w:noProof/>
            <w:webHidden/>
          </w:rPr>
          <w:fldChar w:fldCharType="separate"/>
        </w:r>
        <w:r w:rsidR="00A01ADF">
          <w:rPr>
            <w:noProof/>
            <w:webHidden/>
          </w:rPr>
          <w:t>13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1" w:history="1">
        <w:r w:rsidR="00A01ADF" w:rsidRPr="0093799A">
          <w:rPr>
            <w:rStyle w:val="Hyperlink"/>
            <w:noProof/>
          </w:rPr>
          <w:t>2.6</w:t>
        </w:r>
        <w:r w:rsidR="00A01ADF">
          <w:rPr>
            <w:rFonts w:asciiTheme="minorHAnsi" w:eastAsiaTheme="minorEastAsia" w:hAnsiTheme="minorHAnsi"/>
            <w:noProof/>
            <w:sz w:val="22"/>
            <w:lang w:val="en-NZ" w:eastAsia="en-NZ"/>
          </w:rPr>
          <w:tab/>
        </w:r>
        <w:r w:rsidR="00A01ADF" w:rsidRPr="0093799A">
          <w:rPr>
            <w:rStyle w:val="Hyperlink"/>
            <w:noProof/>
          </w:rPr>
          <w:t>Project Requirement for Land Acquisition</w:t>
        </w:r>
        <w:r w:rsidR="00A01ADF">
          <w:rPr>
            <w:noProof/>
            <w:webHidden/>
          </w:rPr>
          <w:tab/>
        </w:r>
        <w:r w:rsidR="00A01ADF">
          <w:rPr>
            <w:noProof/>
            <w:webHidden/>
          </w:rPr>
          <w:fldChar w:fldCharType="begin"/>
        </w:r>
        <w:r w:rsidR="00A01ADF">
          <w:rPr>
            <w:noProof/>
            <w:webHidden/>
          </w:rPr>
          <w:instrText xml:space="preserve"> PAGEREF _Toc483323531 \h </w:instrText>
        </w:r>
        <w:r w:rsidR="00A01ADF">
          <w:rPr>
            <w:noProof/>
            <w:webHidden/>
          </w:rPr>
        </w:r>
        <w:r w:rsidR="00A01ADF">
          <w:rPr>
            <w:noProof/>
            <w:webHidden/>
          </w:rPr>
          <w:fldChar w:fldCharType="separate"/>
        </w:r>
        <w:r w:rsidR="00A01ADF">
          <w:rPr>
            <w:noProof/>
            <w:webHidden/>
          </w:rPr>
          <w:t>13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2" w:history="1">
        <w:r w:rsidR="00A01ADF" w:rsidRPr="0093799A">
          <w:rPr>
            <w:rStyle w:val="Hyperlink"/>
            <w:noProof/>
          </w:rPr>
          <w:t>2.7</w:t>
        </w:r>
        <w:r w:rsidR="00A01ADF">
          <w:rPr>
            <w:rFonts w:asciiTheme="minorHAnsi" w:eastAsiaTheme="minorEastAsia" w:hAnsiTheme="minorHAnsi"/>
            <w:noProof/>
            <w:sz w:val="22"/>
            <w:lang w:val="en-NZ" w:eastAsia="en-NZ"/>
          </w:rPr>
          <w:tab/>
        </w:r>
        <w:r w:rsidR="00A01ADF" w:rsidRPr="0093799A">
          <w:rPr>
            <w:rStyle w:val="Hyperlink"/>
            <w:noProof/>
          </w:rPr>
          <w:t>Institutional and Implementation Arrangements</w:t>
        </w:r>
        <w:r w:rsidR="00A01ADF">
          <w:rPr>
            <w:noProof/>
            <w:webHidden/>
          </w:rPr>
          <w:tab/>
        </w:r>
        <w:r w:rsidR="00A01ADF">
          <w:rPr>
            <w:noProof/>
            <w:webHidden/>
          </w:rPr>
          <w:fldChar w:fldCharType="begin"/>
        </w:r>
        <w:r w:rsidR="00A01ADF">
          <w:rPr>
            <w:noProof/>
            <w:webHidden/>
          </w:rPr>
          <w:instrText xml:space="preserve"> PAGEREF _Toc483323532 \h </w:instrText>
        </w:r>
        <w:r w:rsidR="00A01ADF">
          <w:rPr>
            <w:noProof/>
            <w:webHidden/>
          </w:rPr>
        </w:r>
        <w:r w:rsidR="00A01ADF">
          <w:rPr>
            <w:noProof/>
            <w:webHidden/>
          </w:rPr>
          <w:fldChar w:fldCharType="separate"/>
        </w:r>
        <w:r w:rsidR="00A01ADF">
          <w:rPr>
            <w:noProof/>
            <w:webHidden/>
          </w:rPr>
          <w:t>14</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33" w:history="1">
        <w:r w:rsidR="00A01ADF" w:rsidRPr="0093799A">
          <w:rPr>
            <w:rStyle w:val="Hyperlink"/>
            <w:noProof/>
          </w:rPr>
          <w:t>3</w:t>
        </w:r>
        <w:r w:rsidR="00A01ADF">
          <w:rPr>
            <w:rFonts w:asciiTheme="minorHAnsi" w:eastAsiaTheme="minorEastAsia" w:hAnsiTheme="minorHAnsi"/>
            <w:noProof/>
            <w:sz w:val="22"/>
            <w:lang w:val="en-NZ" w:eastAsia="en-NZ"/>
          </w:rPr>
          <w:tab/>
        </w:r>
        <w:r w:rsidR="00A01ADF" w:rsidRPr="0093799A">
          <w:rPr>
            <w:rStyle w:val="Hyperlink"/>
            <w:noProof/>
          </w:rPr>
          <w:t>Land in Vanuatu</w:t>
        </w:r>
        <w:r w:rsidR="00A01ADF">
          <w:rPr>
            <w:noProof/>
            <w:webHidden/>
          </w:rPr>
          <w:tab/>
        </w:r>
        <w:r w:rsidR="00A01ADF">
          <w:rPr>
            <w:noProof/>
            <w:webHidden/>
          </w:rPr>
          <w:fldChar w:fldCharType="begin"/>
        </w:r>
        <w:r w:rsidR="00A01ADF">
          <w:rPr>
            <w:noProof/>
            <w:webHidden/>
          </w:rPr>
          <w:instrText xml:space="preserve"> PAGEREF _Toc483323533 \h </w:instrText>
        </w:r>
        <w:r w:rsidR="00A01ADF">
          <w:rPr>
            <w:noProof/>
            <w:webHidden/>
          </w:rPr>
        </w:r>
        <w:r w:rsidR="00A01ADF">
          <w:rPr>
            <w:noProof/>
            <w:webHidden/>
          </w:rPr>
          <w:fldChar w:fldCharType="separate"/>
        </w:r>
        <w:r w:rsidR="00A01ADF">
          <w:rPr>
            <w:noProof/>
            <w:webHidden/>
          </w:rPr>
          <w:t>16</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4" w:history="1">
        <w:r w:rsidR="00A01ADF" w:rsidRPr="0093799A">
          <w:rPr>
            <w:rStyle w:val="Hyperlink"/>
            <w:noProof/>
          </w:rPr>
          <w:t>3.1</w:t>
        </w:r>
        <w:r w:rsidR="00A01ADF">
          <w:rPr>
            <w:rFonts w:asciiTheme="minorHAnsi" w:eastAsiaTheme="minorEastAsia" w:hAnsiTheme="minorHAnsi"/>
            <w:noProof/>
            <w:sz w:val="22"/>
            <w:lang w:val="en-NZ" w:eastAsia="en-NZ"/>
          </w:rPr>
          <w:tab/>
        </w:r>
        <w:r w:rsidR="00A01ADF" w:rsidRPr="0093799A">
          <w:rPr>
            <w:rStyle w:val="Hyperlink"/>
            <w:noProof/>
          </w:rPr>
          <w:t>Land Tenure, Legal and Institutional Framework</w:t>
        </w:r>
        <w:r w:rsidR="00A01ADF">
          <w:rPr>
            <w:noProof/>
            <w:webHidden/>
          </w:rPr>
          <w:tab/>
        </w:r>
        <w:r w:rsidR="00A01ADF">
          <w:rPr>
            <w:noProof/>
            <w:webHidden/>
          </w:rPr>
          <w:fldChar w:fldCharType="begin"/>
        </w:r>
        <w:r w:rsidR="00A01ADF">
          <w:rPr>
            <w:noProof/>
            <w:webHidden/>
          </w:rPr>
          <w:instrText xml:space="preserve"> PAGEREF _Toc483323534 \h </w:instrText>
        </w:r>
        <w:r w:rsidR="00A01ADF">
          <w:rPr>
            <w:noProof/>
            <w:webHidden/>
          </w:rPr>
        </w:r>
        <w:r w:rsidR="00A01ADF">
          <w:rPr>
            <w:noProof/>
            <w:webHidden/>
          </w:rPr>
          <w:fldChar w:fldCharType="separate"/>
        </w:r>
        <w:r w:rsidR="00A01ADF">
          <w:rPr>
            <w:noProof/>
            <w:webHidden/>
          </w:rPr>
          <w:t>16</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5" w:history="1">
        <w:r w:rsidR="00A01ADF" w:rsidRPr="0093799A">
          <w:rPr>
            <w:rStyle w:val="Hyperlink"/>
            <w:noProof/>
          </w:rPr>
          <w:t>3.2</w:t>
        </w:r>
        <w:r w:rsidR="00A01ADF">
          <w:rPr>
            <w:rFonts w:asciiTheme="minorHAnsi" w:eastAsiaTheme="minorEastAsia" w:hAnsiTheme="minorHAnsi"/>
            <w:noProof/>
            <w:sz w:val="22"/>
            <w:lang w:val="en-NZ" w:eastAsia="en-NZ"/>
          </w:rPr>
          <w:tab/>
        </w:r>
        <w:r w:rsidR="00A01ADF" w:rsidRPr="0093799A">
          <w:rPr>
            <w:rStyle w:val="Hyperlink"/>
            <w:noProof/>
          </w:rPr>
          <w:t>Traditional Methods of Negotiation and Grievance Procedures</w:t>
        </w:r>
        <w:r w:rsidR="00A01ADF">
          <w:rPr>
            <w:noProof/>
            <w:webHidden/>
          </w:rPr>
          <w:tab/>
        </w:r>
        <w:r w:rsidR="00A01ADF">
          <w:rPr>
            <w:noProof/>
            <w:webHidden/>
          </w:rPr>
          <w:fldChar w:fldCharType="begin"/>
        </w:r>
        <w:r w:rsidR="00A01ADF">
          <w:rPr>
            <w:noProof/>
            <w:webHidden/>
          </w:rPr>
          <w:instrText xml:space="preserve"> PAGEREF _Toc483323535 \h </w:instrText>
        </w:r>
        <w:r w:rsidR="00A01ADF">
          <w:rPr>
            <w:noProof/>
            <w:webHidden/>
          </w:rPr>
        </w:r>
        <w:r w:rsidR="00A01ADF">
          <w:rPr>
            <w:noProof/>
            <w:webHidden/>
          </w:rPr>
          <w:fldChar w:fldCharType="separate"/>
        </w:r>
        <w:r w:rsidR="00A01ADF">
          <w:rPr>
            <w:noProof/>
            <w:webHidden/>
          </w:rPr>
          <w:t>18</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6" w:history="1">
        <w:r w:rsidR="00A01ADF" w:rsidRPr="0093799A">
          <w:rPr>
            <w:rStyle w:val="Hyperlink"/>
            <w:noProof/>
          </w:rPr>
          <w:t>3.3</w:t>
        </w:r>
        <w:r w:rsidR="00A01ADF">
          <w:rPr>
            <w:rFonts w:asciiTheme="minorHAnsi" w:eastAsiaTheme="minorEastAsia" w:hAnsiTheme="minorHAnsi"/>
            <w:noProof/>
            <w:sz w:val="22"/>
            <w:lang w:val="en-NZ" w:eastAsia="en-NZ"/>
          </w:rPr>
          <w:tab/>
        </w:r>
        <w:r w:rsidR="00A01ADF" w:rsidRPr="0093799A">
          <w:rPr>
            <w:rStyle w:val="Hyperlink"/>
            <w:noProof/>
          </w:rPr>
          <w:t>Gaps and Observations between OP4.12 and Vanuatu Land Management Practices</w:t>
        </w:r>
        <w:r w:rsidR="00A01ADF">
          <w:rPr>
            <w:noProof/>
            <w:webHidden/>
          </w:rPr>
          <w:tab/>
        </w:r>
        <w:r w:rsidR="00A01ADF">
          <w:rPr>
            <w:noProof/>
            <w:webHidden/>
          </w:rPr>
          <w:fldChar w:fldCharType="begin"/>
        </w:r>
        <w:r w:rsidR="00A01ADF">
          <w:rPr>
            <w:noProof/>
            <w:webHidden/>
          </w:rPr>
          <w:instrText xml:space="preserve"> PAGEREF _Toc483323536 \h </w:instrText>
        </w:r>
        <w:r w:rsidR="00A01ADF">
          <w:rPr>
            <w:noProof/>
            <w:webHidden/>
          </w:rPr>
        </w:r>
        <w:r w:rsidR="00A01ADF">
          <w:rPr>
            <w:noProof/>
            <w:webHidden/>
          </w:rPr>
          <w:fldChar w:fldCharType="separate"/>
        </w:r>
        <w:r w:rsidR="00A01ADF">
          <w:rPr>
            <w:noProof/>
            <w:webHidden/>
          </w:rPr>
          <w:t>18</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37" w:history="1">
        <w:r w:rsidR="00A01ADF" w:rsidRPr="0093799A">
          <w:rPr>
            <w:rStyle w:val="Hyperlink"/>
            <w:noProof/>
          </w:rPr>
          <w:t>4</w:t>
        </w:r>
        <w:r w:rsidR="00A01ADF">
          <w:rPr>
            <w:rFonts w:asciiTheme="minorHAnsi" w:eastAsiaTheme="minorEastAsia" w:hAnsiTheme="minorHAnsi"/>
            <w:noProof/>
            <w:sz w:val="22"/>
            <w:lang w:val="en-NZ" w:eastAsia="en-NZ"/>
          </w:rPr>
          <w:tab/>
        </w:r>
        <w:r w:rsidR="00A01ADF" w:rsidRPr="0093799A">
          <w:rPr>
            <w:rStyle w:val="Hyperlink"/>
            <w:noProof/>
          </w:rPr>
          <w:t>Land Acquisition Procedures</w:t>
        </w:r>
        <w:r w:rsidR="00A01ADF">
          <w:rPr>
            <w:noProof/>
            <w:webHidden/>
          </w:rPr>
          <w:tab/>
        </w:r>
        <w:r w:rsidR="00A01ADF">
          <w:rPr>
            <w:noProof/>
            <w:webHidden/>
          </w:rPr>
          <w:fldChar w:fldCharType="begin"/>
        </w:r>
        <w:r w:rsidR="00A01ADF">
          <w:rPr>
            <w:noProof/>
            <w:webHidden/>
          </w:rPr>
          <w:instrText xml:space="preserve"> PAGEREF _Toc483323537 \h </w:instrText>
        </w:r>
        <w:r w:rsidR="00A01ADF">
          <w:rPr>
            <w:noProof/>
            <w:webHidden/>
          </w:rPr>
        </w:r>
        <w:r w:rsidR="00A01ADF">
          <w:rPr>
            <w:noProof/>
            <w:webHidden/>
          </w:rPr>
          <w:fldChar w:fldCharType="separate"/>
        </w:r>
        <w:r w:rsidR="00A01ADF">
          <w:rPr>
            <w:noProof/>
            <w:webHidden/>
          </w:rPr>
          <w:t>23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8" w:history="1">
        <w:r w:rsidR="00A01ADF" w:rsidRPr="0093799A">
          <w:rPr>
            <w:rStyle w:val="Hyperlink"/>
            <w:noProof/>
          </w:rPr>
          <w:t>4.1</w:t>
        </w:r>
        <w:r w:rsidR="00A01ADF">
          <w:rPr>
            <w:rFonts w:asciiTheme="minorHAnsi" w:eastAsiaTheme="minorEastAsia" w:hAnsiTheme="minorHAnsi"/>
            <w:noProof/>
            <w:sz w:val="22"/>
            <w:lang w:val="en-NZ" w:eastAsia="en-NZ"/>
          </w:rPr>
          <w:tab/>
        </w:r>
        <w:r w:rsidR="00A01ADF" w:rsidRPr="0093799A">
          <w:rPr>
            <w:rStyle w:val="Hyperlink"/>
            <w:noProof/>
          </w:rPr>
          <w:t>Preparation of the Abbreviated Resettlement Action Plans (ARAP)</w:t>
        </w:r>
        <w:r w:rsidR="00A01ADF">
          <w:rPr>
            <w:noProof/>
            <w:webHidden/>
          </w:rPr>
          <w:tab/>
        </w:r>
        <w:r w:rsidR="00A01ADF">
          <w:rPr>
            <w:noProof/>
            <w:webHidden/>
          </w:rPr>
          <w:fldChar w:fldCharType="begin"/>
        </w:r>
        <w:r w:rsidR="00A01ADF">
          <w:rPr>
            <w:noProof/>
            <w:webHidden/>
          </w:rPr>
          <w:instrText xml:space="preserve"> PAGEREF _Toc483323538 \h </w:instrText>
        </w:r>
        <w:r w:rsidR="00A01ADF">
          <w:rPr>
            <w:noProof/>
            <w:webHidden/>
          </w:rPr>
        </w:r>
        <w:r w:rsidR="00A01ADF">
          <w:rPr>
            <w:noProof/>
            <w:webHidden/>
          </w:rPr>
          <w:fldChar w:fldCharType="separate"/>
        </w:r>
        <w:r w:rsidR="00A01ADF">
          <w:rPr>
            <w:noProof/>
            <w:webHidden/>
          </w:rPr>
          <w:t>23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39" w:history="1">
        <w:r w:rsidR="00A01ADF" w:rsidRPr="0093799A">
          <w:rPr>
            <w:rStyle w:val="Hyperlink"/>
            <w:noProof/>
          </w:rPr>
          <w:t>4.2</w:t>
        </w:r>
        <w:r w:rsidR="00A01ADF">
          <w:rPr>
            <w:rFonts w:asciiTheme="minorHAnsi" w:eastAsiaTheme="minorEastAsia" w:hAnsiTheme="minorHAnsi"/>
            <w:noProof/>
            <w:sz w:val="22"/>
            <w:lang w:val="en-NZ" w:eastAsia="en-NZ"/>
          </w:rPr>
          <w:tab/>
        </w:r>
        <w:r w:rsidR="00A01ADF" w:rsidRPr="0093799A">
          <w:rPr>
            <w:rStyle w:val="Hyperlink"/>
            <w:noProof/>
          </w:rPr>
          <w:t>Implementation of the Abbreviated Resettlement Action Plans</w:t>
        </w:r>
        <w:r w:rsidR="00A01ADF">
          <w:rPr>
            <w:noProof/>
            <w:webHidden/>
          </w:rPr>
          <w:tab/>
        </w:r>
        <w:r w:rsidR="00A01ADF">
          <w:rPr>
            <w:noProof/>
            <w:webHidden/>
          </w:rPr>
          <w:fldChar w:fldCharType="begin"/>
        </w:r>
        <w:r w:rsidR="00A01ADF">
          <w:rPr>
            <w:noProof/>
            <w:webHidden/>
          </w:rPr>
          <w:instrText xml:space="preserve"> PAGEREF _Toc483323539 \h </w:instrText>
        </w:r>
        <w:r w:rsidR="00A01ADF">
          <w:rPr>
            <w:noProof/>
            <w:webHidden/>
          </w:rPr>
        </w:r>
        <w:r w:rsidR="00A01ADF">
          <w:rPr>
            <w:noProof/>
            <w:webHidden/>
          </w:rPr>
          <w:fldChar w:fldCharType="separate"/>
        </w:r>
        <w:r w:rsidR="00A01ADF">
          <w:rPr>
            <w:noProof/>
            <w:webHidden/>
          </w:rPr>
          <w:t>24</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0" w:history="1">
        <w:r w:rsidR="00A01ADF" w:rsidRPr="0093799A">
          <w:rPr>
            <w:rStyle w:val="Hyperlink"/>
            <w:noProof/>
          </w:rPr>
          <w:t>4.3</w:t>
        </w:r>
        <w:r w:rsidR="00A01ADF">
          <w:rPr>
            <w:rFonts w:asciiTheme="minorHAnsi" w:eastAsiaTheme="minorEastAsia" w:hAnsiTheme="minorHAnsi"/>
            <w:noProof/>
            <w:sz w:val="22"/>
            <w:lang w:val="en-NZ" w:eastAsia="en-NZ"/>
          </w:rPr>
          <w:tab/>
        </w:r>
        <w:r w:rsidR="00A01ADF" w:rsidRPr="0093799A">
          <w:rPr>
            <w:rStyle w:val="Hyperlink"/>
            <w:noProof/>
          </w:rPr>
          <w:t>Compensation and Rehabilitation Eligibility</w:t>
        </w:r>
        <w:r w:rsidR="00A01ADF">
          <w:rPr>
            <w:noProof/>
            <w:webHidden/>
          </w:rPr>
          <w:tab/>
        </w:r>
        <w:r w:rsidR="00A01ADF">
          <w:rPr>
            <w:noProof/>
            <w:webHidden/>
          </w:rPr>
          <w:fldChar w:fldCharType="begin"/>
        </w:r>
        <w:r w:rsidR="00A01ADF">
          <w:rPr>
            <w:noProof/>
            <w:webHidden/>
          </w:rPr>
          <w:instrText xml:space="preserve"> PAGEREF _Toc483323540 \h </w:instrText>
        </w:r>
        <w:r w:rsidR="00A01ADF">
          <w:rPr>
            <w:noProof/>
            <w:webHidden/>
          </w:rPr>
        </w:r>
        <w:r w:rsidR="00A01ADF">
          <w:rPr>
            <w:noProof/>
            <w:webHidden/>
          </w:rPr>
          <w:fldChar w:fldCharType="separate"/>
        </w:r>
        <w:r w:rsidR="00A01ADF">
          <w:rPr>
            <w:noProof/>
            <w:webHidden/>
          </w:rPr>
          <w:t>26</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1" w:history="1">
        <w:r w:rsidR="00A01ADF" w:rsidRPr="0093799A">
          <w:rPr>
            <w:rStyle w:val="Hyperlink"/>
            <w:noProof/>
          </w:rPr>
          <w:t>4.4</w:t>
        </w:r>
        <w:r w:rsidR="00A01ADF">
          <w:rPr>
            <w:rFonts w:asciiTheme="minorHAnsi" w:eastAsiaTheme="minorEastAsia" w:hAnsiTheme="minorHAnsi"/>
            <w:noProof/>
            <w:sz w:val="22"/>
            <w:lang w:val="en-NZ" w:eastAsia="en-NZ"/>
          </w:rPr>
          <w:tab/>
        </w:r>
        <w:r w:rsidR="00A01ADF" w:rsidRPr="0093799A">
          <w:rPr>
            <w:rStyle w:val="Hyperlink"/>
            <w:noProof/>
          </w:rPr>
          <w:t>Protocols for Voluntary Land Acquisition and Donation</w:t>
        </w:r>
        <w:r w:rsidR="00A01ADF">
          <w:rPr>
            <w:noProof/>
            <w:webHidden/>
          </w:rPr>
          <w:tab/>
        </w:r>
        <w:r w:rsidR="00A01ADF">
          <w:rPr>
            <w:noProof/>
            <w:webHidden/>
          </w:rPr>
          <w:fldChar w:fldCharType="begin"/>
        </w:r>
        <w:r w:rsidR="00A01ADF">
          <w:rPr>
            <w:noProof/>
            <w:webHidden/>
          </w:rPr>
          <w:instrText xml:space="preserve"> PAGEREF _Toc483323541 \h </w:instrText>
        </w:r>
        <w:r w:rsidR="00A01ADF">
          <w:rPr>
            <w:noProof/>
            <w:webHidden/>
          </w:rPr>
        </w:r>
        <w:r w:rsidR="00A01ADF">
          <w:rPr>
            <w:noProof/>
            <w:webHidden/>
          </w:rPr>
          <w:fldChar w:fldCharType="separate"/>
        </w:r>
        <w:r w:rsidR="00A01ADF">
          <w:rPr>
            <w:noProof/>
            <w:webHidden/>
          </w:rPr>
          <w:t>2</w:t>
        </w:r>
        <w:r w:rsidR="00A01ADF">
          <w:rPr>
            <w:noProof/>
            <w:webHidden/>
          </w:rPr>
          <w:t>8</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2" w:history="1">
        <w:r w:rsidR="00A01ADF" w:rsidRPr="0093799A">
          <w:rPr>
            <w:rStyle w:val="Hyperlink"/>
            <w:noProof/>
          </w:rPr>
          <w:t>4.5</w:t>
        </w:r>
        <w:r w:rsidR="00A01ADF">
          <w:rPr>
            <w:rFonts w:asciiTheme="minorHAnsi" w:eastAsiaTheme="minorEastAsia" w:hAnsiTheme="minorHAnsi"/>
            <w:noProof/>
            <w:sz w:val="22"/>
            <w:lang w:val="en-NZ" w:eastAsia="en-NZ"/>
          </w:rPr>
          <w:tab/>
        </w:r>
        <w:r w:rsidR="00A01ADF" w:rsidRPr="0093799A">
          <w:rPr>
            <w:rStyle w:val="Hyperlink"/>
            <w:noProof/>
          </w:rPr>
          <w:t>Supervision and Monitoring</w:t>
        </w:r>
        <w:r w:rsidR="00A01ADF">
          <w:rPr>
            <w:noProof/>
            <w:webHidden/>
          </w:rPr>
          <w:tab/>
        </w:r>
        <w:r w:rsidR="00A01ADF">
          <w:rPr>
            <w:noProof/>
            <w:webHidden/>
          </w:rPr>
          <w:fldChar w:fldCharType="begin"/>
        </w:r>
        <w:r w:rsidR="00A01ADF">
          <w:rPr>
            <w:noProof/>
            <w:webHidden/>
          </w:rPr>
          <w:instrText xml:space="preserve"> PAGEREF _Toc483323542 \h </w:instrText>
        </w:r>
        <w:r w:rsidR="00A01ADF">
          <w:rPr>
            <w:noProof/>
            <w:webHidden/>
          </w:rPr>
        </w:r>
        <w:r w:rsidR="00A01ADF">
          <w:rPr>
            <w:noProof/>
            <w:webHidden/>
          </w:rPr>
          <w:fldChar w:fldCharType="separate"/>
        </w:r>
        <w:r w:rsidR="00A01ADF">
          <w:rPr>
            <w:noProof/>
            <w:webHidden/>
          </w:rPr>
          <w:t>28</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43" w:history="1">
        <w:r w:rsidR="00A01ADF" w:rsidRPr="0093799A">
          <w:rPr>
            <w:rStyle w:val="Hyperlink"/>
            <w:noProof/>
          </w:rPr>
          <w:t>5</w:t>
        </w:r>
        <w:r w:rsidR="00A01ADF">
          <w:rPr>
            <w:rFonts w:asciiTheme="minorHAnsi" w:eastAsiaTheme="minorEastAsia" w:hAnsiTheme="minorHAnsi"/>
            <w:noProof/>
            <w:sz w:val="22"/>
            <w:lang w:val="en-NZ" w:eastAsia="en-NZ"/>
          </w:rPr>
          <w:tab/>
        </w:r>
        <w:r w:rsidR="00A01ADF" w:rsidRPr="0093799A">
          <w:rPr>
            <w:rStyle w:val="Hyperlink"/>
            <w:noProof/>
          </w:rPr>
          <w:t>Complaints and Grievance</w:t>
        </w:r>
        <w:r w:rsidR="00A01ADF">
          <w:rPr>
            <w:noProof/>
            <w:webHidden/>
          </w:rPr>
          <w:tab/>
        </w:r>
        <w:r w:rsidR="00A01ADF">
          <w:rPr>
            <w:noProof/>
            <w:webHidden/>
          </w:rPr>
          <w:fldChar w:fldCharType="begin"/>
        </w:r>
        <w:r w:rsidR="00A01ADF">
          <w:rPr>
            <w:noProof/>
            <w:webHidden/>
          </w:rPr>
          <w:instrText xml:space="preserve"> PAGEREF _Toc483323543 \h </w:instrText>
        </w:r>
        <w:r w:rsidR="00A01ADF">
          <w:rPr>
            <w:noProof/>
            <w:webHidden/>
          </w:rPr>
        </w:r>
        <w:r w:rsidR="00A01ADF">
          <w:rPr>
            <w:noProof/>
            <w:webHidden/>
          </w:rPr>
          <w:fldChar w:fldCharType="separate"/>
        </w:r>
        <w:r w:rsidR="00A01ADF">
          <w:rPr>
            <w:noProof/>
            <w:webHidden/>
          </w:rPr>
          <w:t>31</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4" w:history="1">
        <w:r w:rsidR="00A01ADF" w:rsidRPr="0093799A">
          <w:rPr>
            <w:rStyle w:val="Hyperlink"/>
            <w:noProof/>
          </w:rPr>
          <w:t>5.1</w:t>
        </w:r>
        <w:r w:rsidR="00A01ADF">
          <w:rPr>
            <w:rFonts w:asciiTheme="minorHAnsi" w:eastAsiaTheme="minorEastAsia" w:hAnsiTheme="minorHAnsi"/>
            <w:noProof/>
            <w:sz w:val="22"/>
            <w:lang w:val="en-NZ" w:eastAsia="en-NZ"/>
          </w:rPr>
          <w:tab/>
        </w:r>
        <w:r w:rsidR="00A01ADF" w:rsidRPr="0093799A">
          <w:rPr>
            <w:rStyle w:val="Hyperlink"/>
            <w:noProof/>
          </w:rPr>
          <w:t>Introduction</w:t>
        </w:r>
        <w:r w:rsidR="00A01ADF">
          <w:rPr>
            <w:noProof/>
            <w:webHidden/>
          </w:rPr>
          <w:tab/>
        </w:r>
        <w:r w:rsidR="00A01ADF">
          <w:rPr>
            <w:noProof/>
            <w:webHidden/>
          </w:rPr>
          <w:fldChar w:fldCharType="begin"/>
        </w:r>
        <w:r w:rsidR="00A01ADF">
          <w:rPr>
            <w:noProof/>
            <w:webHidden/>
          </w:rPr>
          <w:instrText xml:space="preserve"> PAGEREF _Toc483323544 \h </w:instrText>
        </w:r>
        <w:r w:rsidR="00A01ADF">
          <w:rPr>
            <w:noProof/>
            <w:webHidden/>
          </w:rPr>
        </w:r>
        <w:r w:rsidR="00A01ADF">
          <w:rPr>
            <w:noProof/>
            <w:webHidden/>
          </w:rPr>
          <w:fldChar w:fldCharType="separate"/>
        </w:r>
        <w:r w:rsidR="00A01ADF">
          <w:rPr>
            <w:noProof/>
            <w:webHidden/>
          </w:rPr>
          <w:t>31</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5" w:history="1">
        <w:r w:rsidR="00A01ADF" w:rsidRPr="0093799A">
          <w:rPr>
            <w:rStyle w:val="Hyperlink"/>
            <w:noProof/>
          </w:rPr>
          <w:t>5.2</w:t>
        </w:r>
        <w:r w:rsidR="00A01ADF">
          <w:rPr>
            <w:rFonts w:asciiTheme="minorHAnsi" w:eastAsiaTheme="minorEastAsia" w:hAnsiTheme="minorHAnsi"/>
            <w:noProof/>
            <w:sz w:val="22"/>
            <w:lang w:val="en-NZ" w:eastAsia="en-NZ"/>
          </w:rPr>
          <w:tab/>
        </w:r>
        <w:r w:rsidR="00A01ADF" w:rsidRPr="0093799A">
          <w:rPr>
            <w:rStyle w:val="Hyperlink"/>
            <w:noProof/>
          </w:rPr>
          <w:t>Grievance and Complaints Procedures</w:t>
        </w:r>
        <w:r w:rsidR="00A01ADF">
          <w:rPr>
            <w:noProof/>
            <w:webHidden/>
          </w:rPr>
          <w:tab/>
        </w:r>
        <w:r w:rsidR="00A01ADF">
          <w:rPr>
            <w:noProof/>
            <w:webHidden/>
          </w:rPr>
          <w:fldChar w:fldCharType="begin"/>
        </w:r>
        <w:r w:rsidR="00A01ADF">
          <w:rPr>
            <w:noProof/>
            <w:webHidden/>
          </w:rPr>
          <w:instrText xml:space="preserve"> PAGEREF _Toc483323545 \h </w:instrText>
        </w:r>
        <w:r w:rsidR="00A01ADF">
          <w:rPr>
            <w:noProof/>
            <w:webHidden/>
          </w:rPr>
        </w:r>
        <w:r w:rsidR="00A01ADF">
          <w:rPr>
            <w:noProof/>
            <w:webHidden/>
          </w:rPr>
          <w:fldChar w:fldCharType="separate"/>
        </w:r>
        <w:r w:rsidR="00A01ADF">
          <w:rPr>
            <w:noProof/>
            <w:webHidden/>
          </w:rPr>
          <w:t>31</w:t>
        </w:r>
        <w:r w:rsidR="00A01ADF">
          <w:rPr>
            <w:noProof/>
            <w:webHidden/>
          </w:rPr>
          <w:fldChar w:fldCharType="end"/>
        </w:r>
      </w:hyperlink>
    </w:p>
    <w:p w:rsidR="00A01ADF" w:rsidRDefault="002A2C61">
      <w:pPr>
        <w:pStyle w:val="TOC1"/>
        <w:tabs>
          <w:tab w:val="left" w:pos="440"/>
          <w:tab w:val="right" w:leader="dot" w:pos="9350"/>
        </w:tabs>
        <w:rPr>
          <w:rFonts w:asciiTheme="minorHAnsi" w:eastAsiaTheme="minorEastAsia" w:hAnsiTheme="minorHAnsi"/>
          <w:noProof/>
          <w:sz w:val="22"/>
          <w:lang w:val="en-NZ" w:eastAsia="en-NZ"/>
        </w:rPr>
      </w:pPr>
      <w:hyperlink w:anchor="_Toc483323546" w:history="1">
        <w:r w:rsidR="00A01ADF" w:rsidRPr="0093799A">
          <w:rPr>
            <w:rStyle w:val="Hyperlink"/>
            <w:noProof/>
          </w:rPr>
          <w:t>6</w:t>
        </w:r>
        <w:r w:rsidR="00A01ADF">
          <w:rPr>
            <w:rFonts w:asciiTheme="minorHAnsi" w:eastAsiaTheme="minorEastAsia" w:hAnsiTheme="minorHAnsi"/>
            <w:noProof/>
            <w:sz w:val="22"/>
            <w:lang w:val="en-NZ" w:eastAsia="en-NZ"/>
          </w:rPr>
          <w:tab/>
        </w:r>
        <w:r w:rsidR="00A01ADF" w:rsidRPr="0093799A">
          <w:rPr>
            <w:rStyle w:val="Hyperlink"/>
            <w:noProof/>
          </w:rPr>
          <w:t>Public Consultations</w:t>
        </w:r>
        <w:r w:rsidR="00A01ADF">
          <w:rPr>
            <w:noProof/>
            <w:webHidden/>
          </w:rPr>
          <w:tab/>
        </w:r>
        <w:r w:rsidR="00A01ADF">
          <w:rPr>
            <w:noProof/>
            <w:webHidden/>
          </w:rPr>
          <w:fldChar w:fldCharType="begin"/>
        </w:r>
        <w:r w:rsidR="00A01ADF">
          <w:rPr>
            <w:noProof/>
            <w:webHidden/>
          </w:rPr>
          <w:instrText xml:space="preserve"> PAGEREF _Toc483323546 \h </w:instrText>
        </w:r>
        <w:r w:rsidR="00A01ADF">
          <w:rPr>
            <w:noProof/>
            <w:webHidden/>
          </w:rPr>
        </w:r>
        <w:r w:rsidR="00A01ADF">
          <w:rPr>
            <w:noProof/>
            <w:webHidden/>
          </w:rPr>
          <w:fldChar w:fldCharType="separate"/>
        </w:r>
        <w:r w:rsidR="00A01ADF">
          <w:rPr>
            <w:noProof/>
            <w:webHidden/>
          </w:rPr>
          <w:t>33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7" w:history="1">
        <w:r w:rsidR="00A01ADF" w:rsidRPr="0093799A">
          <w:rPr>
            <w:rStyle w:val="Hyperlink"/>
            <w:noProof/>
          </w:rPr>
          <w:t>6.1</w:t>
        </w:r>
        <w:r w:rsidR="00A01ADF">
          <w:rPr>
            <w:rFonts w:asciiTheme="minorHAnsi" w:eastAsiaTheme="minorEastAsia" w:hAnsiTheme="minorHAnsi"/>
            <w:noProof/>
            <w:sz w:val="22"/>
            <w:lang w:val="en-NZ" w:eastAsia="en-NZ"/>
          </w:rPr>
          <w:tab/>
        </w:r>
        <w:r w:rsidR="00A01ADF" w:rsidRPr="0093799A">
          <w:rPr>
            <w:rStyle w:val="Hyperlink"/>
            <w:noProof/>
          </w:rPr>
          <w:t>Good Practice Approaches</w:t>
        </w:r>
        <w:r w:rsidR="00A01ADF">
          <w:rPr>
            <w:noProof/>
            <w:webHidden/>
          </w:rPr>
          <w:tab/>
        </w:r>
        <w:r w:rsidR="00A01ADF">
          <w:rPr>
            <w:noProof/>
            <w:webHidden/>
          </w:rPr>
          <w:fldChar w:fldCharType="begin"/>
        </w:r>
        <w:r w:rsidR="00A01ADF">
          <w:rPr>
            <w:noProof/>
            <w:webHidden/>
          </w:rPr>
          <w:instrText xml:space="preserve"> PAGEREF _Toc483323547 \h </w:instrText>
        </w:r>
        <w:r w:rsidR="00A01ADF">
          <w:rPr>
            <w:noProof/>
            <w:webHidden/>
          </w:rPr>
        </w:r>
        <w:r w:rsidR="00A01ADF">
          <w:rPr>
            <w:noProof/>
            <w:webHidden/>
          </w:rPr>
          <w:fldChar w:fldCharType="separate"/>
        </w:r>
        <w:r w:rsidR="00A01ADF">
          <w:rPr>
            <w:noProof/>
            <w:webHidden/>
          </w:rPr>
          <w:t>33</w:t>
        </w:r>
        <w:r w:rsidR="00A01ADF">
          <w:rPr>
            <w:noProof/>
            <w:webHidden/>
          </w:rPr>
          <w:fldChar w:fldCharType="end"/>
        </w:r>
      </w:hyperlink>
    </w:p>
    <w:p w:rsidR="00A01ADF" w:rsidRDefault="002A2C61">
      <w:pPr>
        <w:pStyle w:val="TOC2"/>
        <w:tabs>
          <w:tab w:val="left" w:pos="880"/>
          <w:tab w:val="right" w:leader="dot" w:pos="9350"/>
        </w:tabs>
        <w:rPr>
          <w:rFonts w:asciiTheme="minorHAnsi" w:eastAsiaTheme="minorEastAsia" w:hAnsiTheme="minorHAnsi"/>
          <w:noProof/>
          <w:sz w:val="22"/>
          <w:lang w:val="en-NZ" w:eastAsia="en-NZ"/>
        </w:rPr>
      </w:pPr>
      <w:hyperlink w:anchor="_Toc483323548" w:history="1">
        <w:r w:rsidR="00A01ADF" w:rsidRPr="0093799A">
          <w:rPr>
            <w:rStyle w:val="Hyperlink"/>
            <w:noProof/>
          </w:rPr>
          <w:t>6.2</w:t>
        </w:r>
        <w:r w:rsidR="00A01ADF">
          <w:rPr>
            <w:rFonts w:asciiTheme="minorHAnsi" w:eastAsiaTheme="minorEastAsia" w:hAnsiTheme="minorHAnsi"/>
            <w:noProof/>
            <w:sz w:val="22"/>
            <w:lang w:val="en-NZ" w:eastAsia="en-NZ"/>
          </w:rPr>
          <w:tab/>
        </w:r>
        <w:r w:rsidR="00A01ADF" w:rsidRPr="0093799A">
          <w:rPr>
            <w:rStyle w:val="Hyperlink"/>
            <w:noProof/>
          </w:rPr>
          <w:t>Public Consultation Process</w:t>
        </w:r>
        <w:r w:rsidR="00A01ADF">
          <w:rPr>
            <w:noProof/>
            <w:webHidden/>
          </w:rPr>
          <w:tab/>
        </w:r>
        <w:r w:rsidR="00A01ADF">
          <w:rPr>
            <w:noProof/>
            <w:webHidden/>
          </w:rPr>
          <w:fldChar w:fldCharType="begin"/>
        </w:r>
        <w:r w:rsidR="00A01ADF">
          <w:rPr>
            <w:noProof/>
            <w:webHidden/>
          </w:rPr>
          <w:instrText xml:space="preserve"> PAGEREF _Toc483323548 \h </w:instrText>
        </w:r>
        <w:r w:rsidR="00A01ADF">
          <w:rPr>
            <w:noProof/>
            <w:webHidden/>
          </w:rPr>
        </w:r>
        <w:r w:rsidR="00A01ADF">
          <w:rPr>
            <w:noProof/>
            <w:webHidden/>
          </w:rPr>
          <w:fldChar w:fldCharType="separate"/>
        </w:r>
        <w:r w:rsidR="00A01ADF">
          <w:rPr>
            <w:noProof/>
            <w:webHidden/>
          </w:rPr>
          <w:t>33</w:t>
        </w:r>
        <w:r w:rsidR="00A01ADF">
          <w:rPr>
            <w:noProof/>
            <w:webHidden/>
          </w:rPr>
          <w:fldChar w:fldCharType="end"/>
        </w:r>
      </w:hyperlink>
    </w:p>
    <w:p w:rsidR="00A01ADF" w:rsidRDefault="002A2C61">
      <w:pPr>
        <w:pStyle w:val="TOC1"/>
        <w:tabs>
          <w:tab w:val="right" w:leader="dot" w:pos="9350"/>
        </w:tabs>
        <w:rPr>
          <w:rFonts w:asciiTheme="minorHAnsi" w:eastAsiaTheme="minorEastAsia" w:hAnsiTheme="minorHAnsi"/>
          <w:noProof/>
          <w:sz w:val="22"/>
          <w:lang w:val="en-NZ" w:eastAsia="en-NZ"/>
        </w:rPr>
      </w:pPr>
      <w:hyperlink w:anchor="_Toc483323549" w:history="1">
        <w:r w:rsidR="00A01ADF" w:rsidRPr="0093799A">
          <w:rPr>
            <w:rStyle w:val="Hyperlink"/>
            <w:noProof/>
          </w:rPr>
          <w:t>Appendix A                   Outline of an Abbreviated Resettlement Action Plan</w:t>
        </w:r>
        <w:r w:rsidR="00A01ADF">
          <w:rPr>
            <w:noProof/>
            <w:webHidden/>
          </w:rPr>
          <w:tab/>
        </w:r>
        <w:r w:rsidR="00A01ADF">
          <w:rPr>
            <w:noProof/>
            <w:webHidden/>
          </w:rPr>
          <w:fldChar w:fldCharType="begin"/>
        </w:r>
        <w:r w:rsidR="00A01ADF">
          <w:rPr>
            <w:noProof/>
            <w:webHidden/>
          </w:rPr>
          <w:instrText xml:space="preserve"> PAGEREF _Toc483323549 \h </w:instrText>
        </w:r>
        <w:r w:rsidR="00A01ADF">
          <w:rPr>
            <w:noProof/>
            <w:webHidden/>
          </w:rPr>
        </w:r>
        <w:r w:rsidR="00A01ADF">
          <w:rPr>
            <w:noProof/>
            <w:webHidden/>
          </w:rPr>
          <w:fldChar w:fldCharType="separate"/>
        </w:r>
        <w:r w:rsidR="00A01ADF">
          <w:rPr>
            <w:noProof/>
            <w:webHidden/>
          </w:rPr>
          <w:t>36</w:t>
        </w:r>
        <w:r w:rsidR="00A01ADF">
          <w:rPr>
            <w:noProof/>
            <w:webHidden/>
          </w:rPr>
          <w:fldChar w:fldCharType="end"/>
        </w:r>
      </w:hyperlink>
    </w:p>
    <w:p w:rsidR="00A01ADF" w:rsidRDefault="002A2C61">
      <w:pPr>
        <w:pStyle w:val="TOC1"/>
        <w:tabs>
          <w:tab w:val="right" w:leader="dot" w:pos="9350"/>
        </w:tabs>
        <w:rPr>
          <w:rFonts w:asciiTheme="minorHAnsi" w:eastAsiaTheme="minorEastAsia" w:hAnsiTheme="minorHAnsi"/>
          <w:noProof/>
          <w:sz w:val="22"/>
          <w:lang w:val="en-NZ" w:eastAsia="en-NZ"/>
        </w:rPr>
      </w:pPr>
      <w:hyperlink w:anchor="_Toc483323550" w:history="1">
        <w:r w:rsidR="00A01ADF" w:rsidRPr="0093799A">
          <w:rPr>
            <w:rStyle w:val="Hyperlink"/>
            <w:noProof/>
          </w:rPr>
          <w:t>Appendix B                   Checklist for Land Acquisition Impacts</w:t>
        </w:r>
        <w:r w:rsidR="00A01ADF">
          <w:rPr>
            <w:noProof/>
            <w:webHidden/>
          </w:rPr>
          <w:tab/>
        </w:r>
        <w:r w:rsidR="00A01ADF">
          <w:rPr>
            <w:noProof/>
            <w:webHidden/>
          </w:rPr>
          <w:fldChar w:fldCharType="begin"/>
        </w:r>
        <w:r w:rsidR="00A01ADF">
          <w:rPr>
            <w:noProof/>
            <w:webHidden/>
          </w:rPr>
          <w:instrText xml:space="preserve"> PAGEREF _Toc483323550 \h </w:instrText>
        </w:r>
        <w:r w:rsidR="00A01ADF">
          <w:rPr>
            <w:noProof/>
            <w:webHidden/>
          </w:rPr>
        </w:r>
        <w:r w:rsidR="00A01ADF">
          <w:rPr>
            <w:noProof/>
            <w:webHidden/>
          </w:rPr>
          <w:fldChar w:fldCharType="separate"/>
        </w:r>
        <w:r w:rsidR="00A01ADF">
          <w:rPr>
            <w:noProof/>
            <w:webHidden/>
          </w:rPr>
          <w:t>38</w:t>
        </w:r>
        <w:r w:rsidR="00A01ADF">
          <w:rPr>
            <w:noProof/>
            <w:webHidden/>
          </w:rPr>
          <w:fldChar w:fldCharType="end"/>
        </w:r>
      </w:hyperlink>
    </w:p>
    <w:p w:rsidR="00A01ADF" w:rsidRDefault="002A2C61">
      <w:pPr>
        <w:pStyle w:val="TOC1"/>
        <w:tabs>
          <w:tab w:val="left" w:pos="1320"/>
          <w:tab w:val="right" w:leader="dot" w:pos="9350"/>
        </w:tabs>
        <w:rPr>
          <w:rFonts w:asciiTheme="minorHAnsi" w:eastAsiaTheme="minorEastAsia" w:hAnsiTheme="minorHAnsi"/>
          <w:noProof/>
          <w:sz w:val="22"/>
          <w:lang w:val="en-NZ" w:eastAsia="en-NZ"/>
        </w:rPr>
      </w:pPr>
      <w:hyperlink w:anchor="_Toc483323551" w:history="1">
        <w:r w:rsidR="00A01ADF" w:rsidRPr="0093799A">
          <w:rPr>
            <w:rStyle w:val="Hyperlink"/>
            <w:noProof/>
          </w:rPr>
          <w:t xml:space="preserve">Appendix C </w:t>
        </w:r>
        <w:r w:rsidR="00A01ADF">
          <w:rPr>
            <w:rFonts w:asciiTheme="minorHAnsi" w:eastAsiaTheme="minorEastAsia" w:hAnsiTheme="minorHAnsi"/>
            <w:noProof/>
            <w:sz w:val="22"/>
            <w:lang w:val="en-NZ" w:eastAsia="en-NZ"/>
          </w:rPr>
          <w:tab/>
        </w:r>
        <w:r w:rsidR="00A01ADF" w:rsidRPr="0093799A">
          <w:rPr>
            <w:rStyle w:val="Hyperlink"/>
            <w:noProof/>
          </w:rPr>
          <w:t xml:space="preserve">  Inventory of Assets</w:t>
        </w:r>
        <w:r w:rsidR="00A01ADF">
          <w:rPr>
            <w:noProof/>
            <w:webHidden/>
          </w:rPr>
          <w:tab/>
        </w:r>
        <w:r w:rsidR="00A01ADF">
          <w:rPr>
            <w:noProof/>
            <w:webHidden/>
          </w:rPr>
          <w:fldChar w:fldCharType="begin"/>
        </w:r>
        <w:r w:rsidR="00A01ADF">
          <w:rPr>
            <w:noProof/>
            <w:webHidden/>
          </w:rPr>
          <w:instrText xml:space="preserve"> PAGEREF _Toc483323551 \h </w:instrText>
        </w:r>
        <w:r w:rsidR="00A01ADF">
          <w:rPr>
            <w:noProof/>
            <w:webHidden/>
          </w:rPr>
        </w:r>
        <w:r w:rsidR="00A01ADF">
          <w:rPr>
            <w:noProof/>
            <w:webHidden/>
          </w:rPr>
          <w:fldChar w:fldCharType="separate"/>
        </w:r>
        <w:r w:rsidR="00A01ADF">
          <w:rPr>
            <w:noProof/>
            <w:webHidden/>
          </w:rPr>
          <w:t>40</w:t>
        </w:r>
        <w:r w:rsidR="00A01ADF">
          <w:rPr>
            <w:noProof/>
            <w:webHidden/>
          </w:rPr>
          <w:fldChar w:fldCharType="end"/>
        </w:r>
      </w:hyperlink>
    </w:p>
    <w:p w:rsidR="00A01ADF" w:rsidRDefault="002A2C61">
      <w:pPr>
        <w:pStyle w:val="TOC1"/>
        <w:tabs>
          <w:tab w:val="left" w:pos="1320"/>
          <w:tab w:val="right" w:leader="dot" w:pos="9350"/>
        </w:tabs>
        <w:rPr>
          <w:rFonts w:asciiTheme="minorHAnsi" w:eastAsiaTheme="minorEastAsia" w:hAnsiTheme="minorHAnsi"/>
          <w:noProof/>
          <w:sz w:val="22"/>
          <w:lang w:val="en-NZ" w:eastAsia="en-NZ"/>
        </w:rPr>
      </w:pPr>
      <w:hyperlink w:anchor="_Toc483323552" w:history="1">
        <w:r w:rsidR="00A01ADF" w:rsidRPr="0093799A">
          <w:rPr>
            <w:rStyle w:val="Hyperlink"/>
            <w:noProof/>
          </w:rPr>
          <w:t>Appendix D</w:t>
        </w:r>
        <w:r w:rsidR="00A01ADF">
          <w:rPr>
            <w:rFonts w:asciiTheme="minorHAnsi" w:eastAsiaTheme="minorEastAsia" w:hAnsiTheme="minorHAnsi"/>
            <w:noProof/>
            <w:sz w:val="22"/>
            <w:lang w:val="en-NZ" w:eastAsia="en-NZ"/>
          </w:rPr>
          <w:tab/>
        </w:r>
        <w:r w:rsidR="00A01ADF" w:rsidRPr="0093799A">
          <w:rPr>
            <w:rStyle w:val="Hyperlink"/>
            <w:noProof/>
          </w:rPr>
          <w:t xml:space="preserve"> Template for Documenting Public Consultation Meeting</w:t>
        </w:r>
        <w:r w:rsidR="00A01ADF">
          <w:rPr>
            <w:noProof/>
            <w:webHidden/>
          </w:rPr>
          <w:tab/>
        </w:r>
        <w:r w:rsidR="00A01ADF">
          <w:rPr>
            <w:noProof/>
            <w:webHidden/>
          </w:rPr>
          <w:fldChar w:fldCharType="begin"/>
        </w:r>
        <w:r w:rsidR="00A01ADF">
          <w:rPr>
            <w:noProof/>
            <w:webHidden/>
          </w:rPr>
          <w:instrText xml:space="preserve"> PAGEREF _Toc483323552 \h </w:instrText>
        </w:r>
        <w:r w:rsidR="00A01ADF">
          <w:rPr>
            <w:noProof/>
            <w:webHidden/>
          </w:rPr>
        </w:r>
        <w:r w:rsidR="00A01ADF">
          <w:rPr>
            <w:noProof/>
            <w:webHidden/>
          </w:rPr>
          <w:fldChar w:fldCharType="separate"/>
        </w:r>
        <w:r w:rsidR="00A01ADF">
          <w:rPr>
            <w:noProof/>
            <w:webHidden/>
          </w:rPr>
          <w:t>42</w:t>
        </w:r>
        <w:r w:rsidR="00A01ADF">
          <w:rPr>
            <w:noProof/>
            <w:webHidden/>
          </w:rPr>
          <w:fldChar w:fldCharType="end"/>
        </w:r>
      </w:hyperlink>
    </w:p>
    <w:p w:rsidR="00A01ADF" w:rsidRDefault="002A2C61">
      <w:pPr>
        <w:pStyle w:val="TOC1"/>
        <w:tabs>
          <w:tab w:val="right" w:leader="dot" w:pos="9350"/>
        </w:tabs>
        <w:rPr>
          <w:rFonts w:asciiTheme="minorHAnsi" w:eastAsiaTheme="minorEastAsia" w:hAnsiTheme="minorHAnsi"/>
          <w:noProof/>
          <w:sz w:val="22"/>
          <w:lang w:val="en-NZ" w:eastAsia="en-NZ"/>
        </w:rPr>
      </w:pPr>
      <w:hyperlink w:anchor="_Toc483323553" w:history="1">
        <w:r w:rsidR="00A01ADF" w:rsidRPr="0093799A">
          <w:rPr>
            <w:rStyle w:val="Hyperlink"/>
            <w:noProof/>
          </w:rPr>
          <w:t>Appendix E                   Sample Consent Form (Voluntary Donation)</w:t>
        </w:r>
        <w:r w:rsidR="00A01ADF">
          <w:rPr>
            <w:noProof/>
            <w:webHidden/>
          </w:rPr>
          <w:tab/>
        </w:r>
        <w:r w:rsidR="00A01ADF">
          <w:rPr>
            <w:noProof/>
            <w:webHidden/>
          </w:rPr>
          <w:fldChar w:fldCharType="begin"/>
        </w:r>
        <w:r w:rsidR="00A01ADF">
          <w:rPr>
            <w:noProof/>
            <w:webHidden/>
          </w:rPr>
          <w:instrText xml:space="preserve"> PAGEREF _Toc483323553 \h </w:instrText>
        </w:r>
        <w:r w:rsidR="00A01ADF">
          <w:rPr>
            <w:noProof/>
            <w:webHidden/>
          </w:rPr>
        </w:r>
        <w:r w:rsidR="00A01ADF">
          <w:rPr>
            <w:noProof/>
            <w:webHidden/>
          </w:rPr>
          <w:fldChar w:fldCharType="separate"/>
        </w:r>
        <w:r w:rsidR="00A01ADF">
          <w:rPr>
            <w:noProof/>
            <w:webHidden/>
          </w:rPr>
          <w:t>44</w:t>
        </w:r>
        <w:r w:rsidR="00A01ADF">
          <w:rPr>
            <w:noProof/>
            <w:webHidden/>
          </w:rPr>
          <w:fldChar w:fldCharType="end"/>
        </w:r>
      </w:hyperlink>
    </w:p>
    <w:p w:rsidR="0056562E" w:rsidRDefault="002A2C61" w:rsidP="00A01ADF">
      <w:pPr>
        <w:pStyle w:val="TOC1"/>
        <w:tabs>
          <w:tab w:val="right" w:leader="dot" w:pos="9350"/>
        </w:tabs>
        <w:rPr>
          <w:rFonts w:eastAsia="Times New Roman" w:cs="Arial"/>
          <w:color w:val="C00000"/>
          <w:sz w:val="28"/>
          <w:szCs w:val="28"/>
        </w:rPr>
      </w:pPr>
      <w:hyperlink w:anchor="_Toc483323554" w:history="1">
        <w:r w:rsidR="00A01ADF" w:rsidRPr="0093799A">
          <w:rPr>
            <w:rStyle w:val="Hyperlink"/>
            <w:noProof/>
          </w:rPr>
          <w:t>Appendix F           Sample Consent Form (Agreement for Compensation)</w:t>
        </w:r>
        <w:r w:rsidR="00A01ADF">
          <w:rPr>
            <w:noProof/>
            <w:webHidden/>
          </w:rPr>
          <w:tab/>
        </w:r>
        <w:r w:rsidR="00A01ADF">
          <w:rPr>
            <w:noProof/>
            <w:webHidden/>
          </w:rPr>
          <w:fldChar w:fldCharType="begin"/>
        </w:r>
        <w:r w:rsidR="00A01ADF">
          <w:rPr>
            <w:noProof/>
            <w:webHidden/>
          </w:rPr>
          <w:instrText xml:space="preserve"> PAGEREF _Toc483323554 \h </w:instrText>
        </w:r>
        <w:r w:rsidR="00A01ADF">
          <w:rPr>
            <w:noProof/>
            <w:webHidden/>
          </w:rPr>
        </w:r>
        <w:r w:rsidR="00A01ADF">
          <w:rPr>
            <w:noProof/>
            <w:webHidden/>
          </w:rPr>
          <w:fldChar w:fldCharType="separate"/>
        </w:r>
        <w:r w:rsidR="00A01ADF">
          <w:rPr>
            <w:noProof/>
            <w:webHidden/>
          </w:rPr>
          <w:t>46</w:t>
        </w:r>
        <w:r w:rsidR="00A01ADF">
          <w:rPr>
            <w:noProof/>
            <w:webHidden/>
          </w:rPr>
          <w:fldChar w:fldCharType="end"/>
        </w:r>
      </w:hyperlink>
      <w:r w:rsidR="00976FBF">
        <w:rPr>
          <w:rFonts w:eastAsia="Times New Roman" w:cs="Arial"/>
          <w:color w:val="C00000"/>
          <w:szCs w:val="20"/>
        </w:rPr>
        <w:fldChar w:fldCharType="end"/>
      </w:r>
    </w:p>
    <w:p w:rsidR="004E4E84" w:rsidRPr="000C3A63" w:rsidRDefault="004E4E84" w:rsidP="00D15BC0">
      <w:pPr>
        <w:pStyle w:val="AppendixTitle"/>
      </w:pPr>
      <w:bookmarkStart w:id="0" w:name="_Toc483323520"/>
      <w:r w:rsidRPr="000C3A63">
        <w:lastRenderedPageBreak/>
        <w:t>Definitions</w:t>
      </w:r>
      <w:bookmarkEnd w:id="0"/>
    </w:p>
    <w:p w:rsidR="004E4E84" w:rsidRPr="00FC775E" w:rsidRDefault="004E4E84" w:rsidP="00F55496">
      <w:pPr>
        <w:rPr>
          <w:b/>
        </w:rPr>
      </w:pPr>
      <w:r w:rsidRPr="00FC775E">
        <w:rPr>
          <w:b/>
        </w:rPr>
        <w:t>Census</w:t>
      </w:r>
    </w:p>
    <w:p w:rsidR="004E4E84" w:rsidRPr="0016687E" w:rsidRDefault="004E4E84" w:rsidP="00F55496">
      <w:r w:rsidRPr="0016687E">
        <w:t>A field survey carried out to identify Displaced Persons in accordance with pro</w:t>
      </w:r>
      <w:r w:rsidR="0016687E" w:rsidRPr="0016687E">
        <w:t xml:space="preserve">cedures, including criteria for </w:t>
      </w:r>
      <w:r w:rsidRPr="0016687E">
        <w:t>eligibility to compensation and other rehabilitation measures, and consultations with Affected Persons.</w:t>
      </w:r>
    </w:p>
    <w:p w:rsidR="004E4E84" w:rsidRPr="00FC775E" w:rsidRDefault="004E4E84" w:rsidP="00F55496">
      <w:pPr>
        <w:rPr>
          <w:b/>
        </w:rPr>
      </w:pPr>
      <w:r w:rsidRPr="00FC775E">
        <w:rPr>
          <w:b/>
        </w:rPr>
        <w:t>Compensation</w:t>
      </w:r>
    </w:p>
    <w:p w:rsidR="004E4E84" w:rsidRPr="0016687E" w:rsidRDefault="004E4E84" w:rsidP="00F55496">
      <w:r w:rsidRPr="0016687E">
        <w:t>The payment in land, cash or other assets given in exchange for the taking of lan</w:t>
      </w:r>
      <w:r w:rsidR="0016687E" w:rsidRPr="0016687E">
        <w:t xml:space="preserve">d and buildings, in whole or in </w:t>
      </w:r>
      <w:r w:rsidRPr="0016687E">
        <w:t>part, and all fixed assets on the land and buildings.</w:t>
      </w:r>
    </w:p>
    <w:p w:rsidR="004E4E84" w:rsidRPr="00FC775E" w:rsidRDefault="004E4E84" w:rsidP="00F55496">
      <w:pPr>
        <w:rPr>
          <w:b/>
        </w:rPr>
      </w:pPr>
      <w:r w:rsidRPr="00FC775E">
        <w:rPr>
          <w:b/>
        </w:rPr>
        <w:t>Involuntary Land Acquisition</w:t>
      </w:r>
    </w:p>
    <w:p w:rsidR="004E4E84" w:rsidRPr="0016687E" w:rsidRDefault="004E4E84" w:rsidP="00F55496">
      <w:r w:rsidRPr="0016687E">
        <w:t>Is the taking of land by government for public purpose against compensation whe</w:t>
      </w:r>
      <w:r w:rsidR="0016687E" w:rsidRPr="0016687E">
        <w:t xml:space="preserve">re the landowner must surrender </w:t>
      </w:r>
      <w:r w:rsidRPr="0016687E">
        <w:t>their land involuntarily and has only the right to negotiate and appeal the amount of compensation proposed. Th</w:t>
      </w:r>
      <w:r w:rsidR="0016687E" w:rsidRPr="0016687E">
        <w:t xml:space="preserve">is </w:t>
      </w:r>
      <w:r w:rsidRPr="0016687E">
        <w:t>includes land or assets for which the owner enjoys uncontested customary rights.</w:t>
      </w:r>
    </w:p>
    <w:p w:rsidR="0016687E" w:rsidRPr="00FC775E" w:rsidRDefault="004E4E84" w:rsidP="00F55496">
      <w:pPr>
        <w:rPr>
          <w:b/>
        </w:rPr>
      </w:pPr>
      <w:r w:rsidRPr="00FC775E">
        <w:rPr>
          <w:b/>
        </w:rPr>
        <w:t>Land</w:t>
      </w:r>
    </w:p>
    <w:p w:rsidR="004E4E84" w:rsidRPr="0016687E" w:rsidRDefault="004E4E84" w:rsidP="00F55496">
      <w:r w:rsidRPr="0016687E">
        <w:t>Refers to agricultural and non-agricultural land and any structures thereon whe</w:t>
      </w:r>
      <w:r w:rsidR="0016687E" w:rsidRPr="0016687E">
        <w:t xml:space="preserve">ther temporary or permanent and </w:t>
      </w:r>
      <w:r w:rsidRPr="0016687E">
        <w:t>which is required for the Project.</w:t>
      </w:r>
    </w:p>
    <w:p w:rsidR="004E4E84" w:rsidRPr="00FC775E" w:rsidRDefault="004E4E84" w:rsidP="00F55496">
      <w:pPr>
        <w:rPr>
          <w:b/>
        </w:rPr>
      </w:pPr>
      <w:r w:rsidRPr="00FC775E">
        <w:rPr>
          <w:b/>
        </w:rPr>
        <w:t>Replacement Cost</w:t>
      </w:r>
    </w:p>
    <w:p w:rsidR="004E4E84" w:rsidRPr="0016687E" w:rsidRDefault="004E4E84" w:rsidP="00F55496">
      <w:r w:rsidRPr="0016687E">
        <w:t>Means the method of valuation of assets which assists in determining the amount su</w:t>
      </w:r>
      <w:r w:rsidR="0016687E" w:rsidRPr="0016687E">
        <w:t xml:space="preserve">fficient to replace lost assets </w:t>
      </w:r>
      <w:r w:rsidRPr="0016687E">
        <w:t>and cover transaction costs, as follows:</w:t>
      </w:r>
    </w:p>
    <w:p w:rsidR="004E4E84" w:rsidRPr="0016687E" w:rsidRDefault="004E4E84" w:rsidP="00F55496">
      <w:r w:rsidRPr="0016687E">
        <w:t xml:space="preserve">-     ‘Replacement cost for agricultural land’ means the pre-project or pre-displacement, whichever is </w:t>
      </w:r>
      <w:r w:rsidR="004026E0" w:rsidRPr="0016687E">
        <w:t>higher, market</w:t>
      </w:r>
      <w:r w:rsidRPr="0016687E">
        <w:t xml:space="preserve"> value of land of equal productive potential or use located in the vicinity</w:t>
      </w:r>
      <w:r w:rsidR="0016687E" w:rsidRPr="0016687E">
        <w:t xml:space="preserve"> of the affected land, plus the </w:t>
      </w:r>
      <w:r w:rsidRPr="0016687E">
        <w:t>costs of:</w:t>
      </w:r>
    </w:p>
    <w:p w:rsidR="004E4E84" w:rsidRPr="0016687E" w:rsidRDefault="004E4E84" w:rsidP="00F55496">
      <w:r w:rsidRPr="0016687E">
        <w:t xml:space="preserve">      </w:t>
      </w:r>
      <w:r w:rsidRPr="0016687E">
        <w:sym w:font="Symbol" w:char="F0B7"/>
      </w:r>
      <w:r w:rsidRPr="0016687E">
        <w:t xml:space="preserve">     Preparing the land to levels similar to those of the affected land; and</w:t>
      </w:r>
    </w:p>
    <w:p w:rsidR="004E4E84" w:rsidRPr="0016687E" w:rsidRDefault="004E4E84" w:rsidP="00F55496">
      <w:r w:rsidRPr="0016687E">
        <w:t xml:space="preserve">      </w:t>
      </w:r>
      <w:r w:rsidRPr="0016687E">
        <w:sym w:font="Symbol" w:char="F0B7"/>
      </w:r>
      <w:r w:rsidRPr="0016687E">
        <w:t xml:space="preserve">     Any registration and transfer taxes;</w:t>
      </w:r>
    </w:p>
    <w:p w:rsidR="004E4E84" w:rsidRPr="0016687E" w:rsidRDefault="004E4E84" w:rsidP="00F55496">
      <w:r w:rsidRPr="0016687E">
        <w:t>-     ‘Replacement cost for houses and other structures’ means the market c</w:t>
      </w:r>
      <w:r w:rsidR="0016687E" w:rsidRPr="0016687E">
        <w:t xml:space="preserve">ost of the materials to build a </w:t>
      </w:r>
      <w:r w:rsidRPr="0016687E">
        <w:t>replacement structure with an area and quality similar to or better than those o</w:t>
      </w:r>
      <w:r w:rsidR="0016687E" w:rsidRPr="0016687E">
        <w:t xml:space="preserve">f the affected structure, or to </w:t>
      </w:r>
      <w:r w:rsidRPr="0016687E">
        <w:t>repair a partially affected structure, plus the costs of:</w:t>
      </w:r>
    </w:p>
    <w:p w:rsidR="004E4E84" w:rsidRPr="0016687E" w:rsidRDefault="004E4E84" w:rsidP="00F55496">
      <w:r w:rsidRPr="0016687E">
        <w:t xml:space="preserve">      </w:t>
      </w:r>
      <w:r w:rsidRPr="0016687E">
        <w:sym w:font="Symbol" w:char="F0B7"/>
      </w:r>
      <w:r w:rsidRPr="0016687E">
        <w:t xml:space="preserve">     Transporting building materials to the construction site;</w:t>
      </w:r>
    </w:p>
    <w:p w:rsidR="004E4E84" w:rsidRPr="0016687E" w:rsidRDefault="004E4E84" w:rsidP="00F55496">
      <w:r w:rsidRPr="0016687E">
        <w:t xml:space="preserve">      </w:t>
      </w:r>
      <w:r w:rsidRPr="0016687E">
        <w:sym w:font="Symbol" w:char="F0B7"/>
      </w:r>
      <w:r w:rsidRPr="0016687E">
        <w:t xml:space="preserve">     Any </w:t>
      </w:r>
      <w:proofErr w:type="spellStart"/>
      <w:r w:rsidRPr="0016687E">
        <w:t>labour</w:t>
      </w:r>
      <w:proofErr w:type="spellEnd"/>
      <w:r w:rsidRPr="0016687E">
        <w:t xml:space="preserve"> and contractors’ fees; and</w:t>
      </w:r>
    </w:p>
    <w:p w:rsidR="004E4E84" w:rsidRPr="0016687E" w:rsidRDefault="004E4E84" w:rsidP="00F55496">
      <w:r w:rsidRPr="0016687E">
        <w:t xml:space="preserve">      </w:t>
      </w:r>
      <w:r w:rsidRPr="0016687E">
        <w:sym w:font="Symbol" w:char="F0B7"/>
      </w:r>
      <w:r w:rsidRPr="0016687E">
        <w:t xml:space="preserve">     </w:t>
      </w:r>
      <w:proofErr w:type="gramStart"/>
      <w:r w:rsidRPr="0016687E">
        <w:t>Any registration and transfer taxes.</w:t>
      </w:r>
      <w:proofErr w:type="gramEnd"/>
    </w:p>
    <w:p w:rsidR="004E4E84" w:rsidRPr="0016687E" w:rsidRDefault="004E4E84" w:rsidP="00F55496">
      <w:r w:rsidRPr="0016687E">
        <w:t>-     ‘Replacement cost for land in urban areas’ means the pre-displacement mar</w:t>
      </w:r>
      <w:r w:rsidR="0016687E" w:rsidRPr="0016687E">
        <w:t xml:space="preserve">ket value of land of equal size </w:t>
      </w:r>
      <w:r w:rsidRPr="0016687E">
        <w:t>and use, with similar or improved public infrastructure facilities and services and</w:t>
      </w:r>
      <w:r w:rsidR="0016687E" w:rsidRPr="0016687E">
        <w:t xml:space="preserve"> located in the vicinity of the </w:t>
      </w:r>
      <w:r w:rsidRPr="0016687E">
        <w:t>affected land, plus the cost of any registration and transfer taxes.</w:t>
      </w:r>
    </w:p>
    <w:p w:rsidR="004E4E84" w:rsidRPr="00FC775E" w:rsidRDefault="004E4E84" w:rsidP="00F55496">
      <w:pPr>
        <w:rPr>
          <w:b/>
        </w:rPr>
      </w:pPr>
      <w:r w:rsidRPr="00FC775E">
        <w:rPr>
          <w:b/>
        </w:rPr>
        <w:t>Voluntary Land Contribution</w:t>
      </w:r>
    </w:p>
    <w:p w:rsidR="0056562E" w:rsidRDefault="004E4E84" w:rsidP="00F55496">
      <w:pPr>
        <w:rPr>
          <w:sz w:val="28"/>
          <w:szCs w:val="28"/>
        </w:rPr>
      </w:pPr>
      <w:r w:rsidRPr="0016687E">
        <w:t>Refers to a process by which an individual or communal owner agrees to provid</w:t>
      </w:r>
      <w:r w:rsidR="0016687E" w:rsidRPr="0016687E">
        <w:t>e land or property for project-</w:t>
      </w:r>
      <w:r w:rsidRPr="0016687E">
        <w:t>related activities. Voluntary Land Contribution is generally provided without Compensation. Voluntary contribution</w:t>
      </w:r>
      <w:r w:rsidR="0016687E" w:rsidRPr="0016687E">
        <w:t xml:space="preserve"> </w:t>
      </w:r>
      <w:r w:rsidRPr="0016687E">
        <w:t>is an act of informed consent, made with the prior knowledge of other options available and their consequences,</w:t>
      </w:r>
      <w:r w:rsidR="0016687E" w:rsidRPr="0016687E">
        <w:t xml:space="preserve"> </w:t>
      </w:r>
      <w:r w:rsidRPr="0016687E">
        <w:t>including the right not to contribute or transfer the land. It must be obtained wi</w:t>
      </w:r>
      <w:r w:rsidR="0016687E">
        <w:t>thout undue coercion or duress.</w:t>
      </w:r>
      <w:r w:rsidR="0056562E">
        <w:rPr>
          <w:sz w:val="28"/>
          <w:szCs w:val="28"/>
        </w:rPr>
        <w:br w:type="page"/>
      </w:r>
    </w:p>
    <w:p w:rsidR="004E4E84" w:rsidRPr="000C3A63" w:rsidRDefault="004E4E84" w:rsidP="00D15BC0">
      <w:pPr>
        <w:pStyle w:val="AppendixTitle"/>
      </w:pPr>
      <w:bookmarkStart w:id="1" w:name="_Toc483323521"/>
      <w:r w:rsidRPr="000C3A63">
        <w:lastRenderedPageBreak/>
        <w:t>Acronyms</w:t>
      </w:r>
      <w:bookmarkEnd w:id="1"/>
    </w:p>
    <w:p w:rsidR="0016687E" w:rsidRPr="0016687E" w:rsidRDefault="0016687E"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C00000"/>
          <w:sz w:val="24"/>
          <w:szCs w:val="24"/>
        </w:rPr>
      </w:pPr>
    </w:p>
    <w:p w:rsidR="00D17A39" w:rsidRPr="0016687E" w:rsidRDefault="00D17A39" w:rsidP="00F55496">
      <w:r>
        <w:t>ARAP</w:t>
      </w:r>
      <w:r w:rsidRPr="0016687E">
        <w:t xml:space="preserve">              </w:t>
      </w:r>
      <w:r>
        <w:tab/>
        <w:t>Abbreviated Resettlement Action Plan</w:t>
      </w:r>
    </w:p>
    <w:p w:rsidR="004E4E84" w:rsidRPr="0016687E" w:rsidRDefault="004E4E84" w:rsidP="00F55496">
      <w:r w:rsidRPr="0016687E">
        <w:t>DGMWR             Department of Geology, Mines and Water Resources</w:t>
      </w:r>
    </w:p>
    <w:p w:rsidR="00B96EAB" w:rsidRDefault="00B96EAB" w:rsidP="00F55496">
      <w:r>
        <w:t>ESMF…………..Environmental and Social Management Framework</w:t>
      </w:r>
    </w:p>
    <w:p w:rsidR="004E4E84" w:rsidRPr="0016687E" w:rsidRDefault="004E4E84" w:rsidP="00F55496">
      <w:r w:rsidRPr="0016687E">
        <w:t xml:space="preserve">MAQFF             </w:t>
      </w:r>
      <w:r w:rsidR="0016687E">
        <w:tab/>
      </w:r>
      <w:r w:rsidRPr="0016687E">
        <w:t>Ministry of Agriculture, Quarantine, Forestry and Fisheries</w:t>
      </w:r>
    </w:p>
    <w:p w:rsidR="004E4E84" w:rsidRPr="0016687E" w:rsidRDefault="004E4E84" w:rsidP="00F55496">
      <w:r w:rsidRPr="0016687E">
        <w:t xml:space="preserve">MFEM              </w:t>
      </w:r>
      <w:r w:rsidR="0016687E">
        <w:tab/>
      </w:r>
      <w:r w:rsidRPr="0016687E">
        <w:t>Ministry of Finance and Economic Management</w:t>
      </w:r>
    </w:p>
    <w:p w:rsidR="004E4E84" w:rsidRPr="0016687E" w:rsidRDefault="004E4E84" w:rsidP="00F55496">
      <w:r w:rsidRPr="0016687E">
        <w:t xml:space="preserve">MLNR              </w:t>
      </w:r>
      <w:r w:rsidR="0016687E">
        <w:tab/>
      </w:r>
      <w:proofErr w:type="gramStart"/>
      <w:r w:rsidRPr="0016687E">
        <w:t>The</w:t>
      </w:r>
      <w:proofErr w:type="gramEnd"/>
      <w:r w:rsidRPr="0016687E">
        <w:t xml:space="preserve"> Ministry of Land and Natural Resources</w:t>
      </w:r>
    </w:p>
    <w:p w:rsidR="004E4E84" w:rsidRPr="0016687E" w:rsidRDefault="004E4E84" w:rsidP="00F55496">
      <w:r w:rsidRPr="0016687E">
        <w:t xml:space="preserve">NAB               </w:t>
      </w:r>
      <w:r w:rsidR="0016687E">
        <w:tab/>
      </w:r>
      <w:r w:rsidRPr="0016687E">
        <w:t xml:space="preserve">The National Advisory Board </w:t>
      </w:r>
      <w:r w:rsidR="00482613">
        <w:t xml:space="preserve">on Climate Change and </w:t>
      </w:r>
      <w:r w:rsidR="00154E34">
        <w:t>Disaster Risk Reduction in Vanuatu</w:t>
      </w:r>
    </w:p>
    <w:p w:rsidR="004E4E84" w:rsidRPr="0016687E" w:rsidRDefault="004E4E84" w:rsidP="00F55496">
      <w:r w:rsidRPr="0016687E">
        <w:t>P</w:t>
      </w:r>
      <w:r w:rsidR="00482613">
        <w:t>M</w:t>
      </w:r>
      <w:r w:rsidRPr="0016687E">
        <w:t xml:space="preserve">U               </w:t>
      </w:r>
      <w:r w:rsidR="0016687E">
        <w:tab/>
      </w:r>
      <w:r w:rsidRPr="0016687E">
        <w:t xml:space="preserve">Project </w:t>
      </w:r>
      <w:r w:rsidR="00482613">
        <w:t>Management</w:t>
      </w:r>
      <w:r w:rsidR="00482613" w:rsidRPr="0016687E">
        <w:t xml:space="preserve"> </w:t>
      </w:r>
      <w:r w:rsidRPr="0016687E">
        <w:t>Unit</w:t>
      </w:r>
    </w:p>
    <w:p w:rsidR="00D17A39" w:rsidRPr="0016687E" w:rsidRDefault="00D17A39" w:rsidP="00F55496">
      <w:r>
        <w:t>RPF</w:t>
      </w:r>
      <w:r w:rsidRPr="0016687E">
        <w:t xml:space="preserve">             </w:t>
      </w:r>
      <w:r>
        <w:tab/>
        <w:t>Resettlement Policy</w:t>
      </w:r>
      <w:r w:rsidRPr="0016687E">
        <w:t xml:space="preserve"> Framework or Framework</w:t>
      </w:r>
    </w:p>
    <w:p w:rsidR="004E4E84" w:rsidRPr="0016687E" w:rsidRDefault="004E4E84" w:rsidP="00F55496">
      <w:r w:rsidRPr="0016687E">
        <w:t xml:space="preserve">VARTC            </w:t>
      </w:r>
      <w:r w:rsidR="0016687E">
        <w:tab/>
      </w:r>
      <w:r w:rsidRPr="0016687E">
        <w:t>Vanuatu Agricultural Research and Training Centre</w:t>
      </w:r>
    </w:p>
    <w:p w:rsidR="004E4E84" w:rsidRPr="0016687E" w:rsidRDefault="004E4E84" w:rsidP="00F55496">
      <w:r w:rsidRPr="0016687E">
        <w:t xml:space="preserve">VMGD              </w:t>
      </w:r>
      <w:r w:rsidR="0016687E">
        <w:tab/>
      </w:r>
      <w:r w:rsidRPr="0016687E">
        <w:t>Vanuatu Meteorology and Geo-Hazards Department</w:t>
      </w:r>
    </w:p>
    <w:p w:rsidR="004E4E84" w:rsidRPr="0016687E" w:rsidRDefault="004E4E84" w:rsidP="00F55496">
      <w:r w:rsidRPr="0016687E">
        <w:t xml:space="preserve">WB                </w:t>
      </w:r>
      <w:r w:rsidR="0016687E">
        <w:tab/>
      </w:r>
      <w:r w:rsidRPr="0016687E">
        <w:t>World Bank</w:t>
      </w:r>
    </w:p>
    <w:p w:rsidR="004E4E84" w:rsidRPr="0016687E" w:rsidRDefault="004E4E84" w:rsidP="00F55496">
      <w:r w:rsidRPr="0016687E">
        <w:t>WB OP4.12         World Bank Operational Policy 4.12</w:t>
      </w:r>
    </w:p>
    <w:p w:rsidR="004E4E84" w:rsidRPr="000C3A63" w:rsidRDefault="004E4E84" w:rsidP="00FF58F6">
      <w:pPr>
        <w:pStyle w:val="Heading1"/>
      </w:pPr>
      <w:bookmarkStart w:id="2" w:name="_Toc483323522"/>
      <w:r w:rsidRPr="000C3A63">
        <w:lastRenderedPageBreak/>
        <w:t>Land Acquisition and World Bank OP4.12 Objectives</w:t>
      </w:r>
      <w:bookmarkEnd w:id="2"/>
    </w:p>
    <w:p w:rsidR="004E4E84" w:rsidRPr="00FC775E" w:rsidRDefault="004E4E84" w:rsidP="00FF58F6">
      <w:pPr>
        <w:pStyle w:val="Heading2"/>
      </w:pPr>
      <w:bookmarkStart w:id="3" w:name="_Toc483323523"/>
      <w:r w:rsidRPr="00FC775E">
        <w:t>World Bank OP4.12 Objectives</w:t>
      </w:r>
      <w:bookmarkEnd w:id="3"/>
    </w:p>
    <w:p w:rsidR="004E4E84" w:rsidRDefault="004E4E84" w:rsidP="00B96EAB">
      <w:r w:rsidRPr="0016687E">
        <w:t>World Bank (WB) Policy OP4.12 is triggered when a WB investment causes involunt</w:t>
      </w:r>
      <w:r w:rsidR="00CC5B53">
        <w:t xml:space="preserve">ary taking of land that results </w:t>
      </w:r>
      <w:r w:rsidRPr="0016687E">
        <w:t>in direct social and economic impacts, such as loss of shelter leading to relocati</w:t>
      </w:r>
      <w:r w:rsidR="00CC5B53">
        <w:t xml:space="preserve">on, loss of assets or access to </w:t>
      </w:r>
      <w:r w:rsidRPr="0016687E">
        <w:t>assets, or loss of income sources or means of livelihood. The objectives of OP4.12 are:</w:t>
      </w:r>
    </w:p>
    <w:p w:rsidR="004E4E84" w:rsidRPr="0016687E" w:rsidRDefault="004E4E84" w:rsidP="00B96EAB">
      <w:pPr>
        <w:ind w:left="426" w:hanging="426"/>
      </w:pPr>
      <w:r w:rsidRPr="0016687E">
        <w:t xml:space="preserve">-       Avoid involuntary resettlement where feasible, or </w:t>
      </w:r>
      <w:proofErr w:type="spellStart"/>
      <w:r w:rsidRPr="0016687E">
        <w:t>minimise</w:t>
      </w:r>
      <w:proofErr w:type="spellEnd"/>
      <w:r w:rsidRPr="0016687E">
        <w:t xml:space="preserve"> it, exploring all viable alternative project designs;</w:t>
      </w:r>
    </w:p>
    <w:p w:rsidR="004E4E84" w:rsidRPr="0016687E" w:rsidRDefault="00A667DE" w:rsidP="00B96EAB">
      <w:pPr>
        <w:ind w:left="426" w:hanging="426"/>
      </w:pPr>
      <w:r>
        <w:t xml:space="preserve">-    </w:t>
      </w:r>
      <w:r w:rsidR="004E4E84" w:rsidRPr="0016687E">
        <w:t>Consult affected persons meaningfully and provide opportunities to participa</w:t>
      </w:r>
      <w:r w:rsidR="00CC5B53">
        <w:t xml:space="preserve">te in planning and implementing </w:t>
      </w:r>
      <w:r w:rsidR="004E4E84" w:rsidRPr="0016687E">
        <w:t>resettlement programs; and</w:t>
      </w:r>
    </w:p>
    <w:p w:rsidR="004E4E84" w:rsidRDefault="004E4E84" w:rsidP="00B96EAB">
      <w:pPr>
        <w:ind w:left="426" w:hanging="426"/>
      </w:pPr>
      <w:r w:rsidRPr="0016687E">
        <w:t>-       Assist affected persons in their efforts to improve their livelihoods and standards of living or at least t</w:t>
      </w:r>
      <w:r w:rsidR="00CC5B53">
        <w:t xml:space="preserve">o </w:t>
      </w:r>
      <w:r w:rsidRPr="0016687E">
        <w:t>restore them, in real terms, to pre-displacement levels.</w:t>
      </w:r>
    </w:p>
    <w:p w:rsidR="004E4E84" w:rsidRDefault="004E4E84" w:rsidP="00B96EAB">
      <w:r w:rsidRPr="0016687E">
        <w:t>OP 4.12 applies to all components of the project that require land that are directly a</w:t>
      </w:r>
      <w:r w:rsidR="00CC5B53">
        <w:t xml:space="preserve">nd significantly related to the </w:t>
      </w:r>
      <w:r w:rsidRPr="0016687E">
        <w:t>WB-assisted project, necessary to achieve its objectives, or planned to be carried</w:t>
      </w:r>
      <w:r w:rsidR="00CC5B53">
        <w:t xml:space="preserve"> out with the project. Measures </w:t>
      </w:r>
      <w:r w:rsidRPr="0016687E">
        <w:t xml:space="preserve">for mitigating the impacts of involuntary land acquisition and resettlement </w:t>
      </w:r>
      <w:r w:rsidR="00CC5B53">
        <w:t xml:space="preserve">as outlined in WB Policy OP4.12 </w:t>
      </w:r>
      <w:r w:rsidRPr="0016687E">
        <w:t>include:</w:t>
      </w:r>
    </w:p>
    <w:p w:rsidR="004E4E84" w:rsidRPr="0016687E" w:rsidRDefault="004E4E84" w:rsidP="00B96EAB">
      <w:r w:rsidRPr="0016687E">
        <w:t>-       Inform affected persons about their rights/ options pertaining to land acquisition/ resettlement;</w:t>
      </w:r>
    </w:p>
    <w:p w:rsidR="004E4E84" w:rsidRPr="0016687E" w:rsidRDefault="004E4E84" w:rsidP="00B96EAB">
      <w:pPr>
        <w:ind w:left="426" w:hanging="426"/>
      </w:pPr>
      <w:r w:rsidRPr="0016687E">
        <w:t xml:space="preserve">-       Provide prompt and effective compensation at full replacement cost for losses </w:t>
      </w:r>
      <w:r w:rsidR="00CC5B53">
        <w:t xml:space="preserve">of assets attributable directly </w:t>
      </w:r>
      <w:r w:rsidRPr="0016687E">
        <w:t>to the project;</w:t>
      </w:r>
    </w:p>
    <w:p w:rsidR="004E4E84" w:rsidRPr="0016687E" w:rsidRDefault="004E4E84" w:rsidP="00B96EAB">
      <w:r w:rsidRPr="0016687E">
        <w:t>-       Provide resettlement assistance for vulnerable affected people;</w:t>
      </w:r>
    </w:p>
    <w:p w:rsidR="004E4E84" w:rsidRPr="0016687E" w:rsidRDefault="004E4E84" w:rsidP="00B96EAB">
      <w:pPr>
        <w:ind w:left="426" w:hanging="426"/>
      </w:pPr>
      <w:r w:rsidRPr="0016687E">
        <w:t>-       Options can be ‘land for land’ if livelihoods are land-based or cash if land t</w:t>
      </w:r>
      <w:r w:rsidR="00CC5B53">
        <w:t xml:space="preserve">aken is a small fraction of the </w:t>
      </w:r>
      <w:r w:rsidRPr="0016687E">
        <w:t>affected asset and residual land holdings are viable; and</w:t>
      </w:r>
    </w:p>
    <w:p w:rsidR="004E4E84" w:rsidRDefault="004E4E84" w:rsidP="00B96EAB">
      <w:r w:rsidRPr="0016687E">
        <w:t>-       Compensation/resettlement implementation needs to be integrated into the project timetable.</w:t>
      </w:r>
    </w:p>
    <w:p w:rsidR="004E4E84" w:rsidRPr="0016687E" w:rsidRDefault="004E4E84" w:rsidP="00B96EAB">
      <w:r w:rsidRPr="0016687E">
        <w:t>When it is possible to determine scale of adverse impacts and affected population</w:t>
      </w:r>
      <w:r w:rsidR="00CC5B53">
        <w:t xml:space="preserve"> during project preparation and </w:t>
      </w:r>
      <w:r w:rsidRPr="0016687E">
        <w:t>prior to appraisal a Resettlement Plan should be prepared. When it is not po</w:t>
      </w:r>
      <w:r w:rsidR="00CC5B53">
        <w:t xml:space="preserve">ssible to identify precise site </w:t>
      </w:r>
      <w:r w:rsidRPr="0016687E">
        <w:t>alignments or specific impacts/affected population during project preparat</w:t>
      </w:r>
      <w:r w:rsidR="00CC5B53">
        <w:t xml:space="preserve">ion then a </w:t>
      </w:r>
      <w:r w:rsidR="00B67CD3">
        <w:t xml:space="preserve">Resettlement Policy </w:t>
      </w:r>
      <w:r w:rsidRPr="0016687E">
        <w:t>Framework (</w:t>
      </w:r>
      <w:r w:rsidR="00B67CD3">
        <w:t xml:space="preserve">RPF </w:t>
      </w:r>
      <w:r w:rsidRPr="0016687E">
        <w:t>or Framework) is developed for the project. The resettlement instru</w:t>
      </w:r>
      <w:r w:rsidR="00B96EAB">
        <w:t>m</w:t>
      </w:r>
      <w:r w:rsidRPr="0016687E">
        <w:t xml:space="preserve">ent </w:t>
      </w:r>
      <w:r w:rsidR="00D17A39">
        <w:t xml:space="preserve">is </w:t>
      </w:r>
      <w:r w:rsidRPr="0016687E">
        <w:t>included in the Legal Agreement between the Bank and the Borrower.</w:t>
      </w:r>
    </w:p>
    <w:p w:rsidR="004E4E84" w:rsidRPr="00CC5B53" w:rsidRDefault="00B67CD3" w:rsidP="00FF58F6">
      <w:pPr>
        <w:pStyle w:val="Heading2"/>
      </w:pPr>
      <w:bookmarkStart w:id="4" w:name="_Toc483323524"/>
      <w:r>
        <w:t>RPF</w:t>
      </w:r>
      <w:bookmarkEnd w:id="4"/>
    </w:p>
    <w:p w:rsidR="004E4E84" w:rsidRPr="0016687E" w:rsidRDefault="004E4E84" w:rsidP="00B96EAB">
      <w:r w:rsidRPr="0016687E">
        <w:t xml:space="preserve">A </w:t>
      </w:r>
      <w:r w:rsidR="00B67CD3">
        <w:t>RPF</w:t>
      </w:r>
      <w:r w:rsidRPr="0016687E">
        <w:t xml:space="preserve"> is developed for the project when the specific impacts relating to land tak</w:t>
      </w:r>
      <w:r w:rsidR="00CC5B53">
        <w:t xml:space="preserve">e are not known in advance. The </w:t>
      </w:r>
      <w:r w:rsidRPr="0016687E">
        <w:t xml:space="preserve">underlying principle of the </w:t>
      </w:r>
      <w:r w:rsidR="00B67CD3">
        <w:t>RPF</w:t>
      </w:r>
      <w:r w:rsidRPr="0016687E">
        <w:t xml:space="preserve"> is to avoid/ </w:t>
      </w:r>
      <w:proofErr w:type="spellStart"/>
      <w:r w:rsidRPr="0016687E">
        <w:t>minimise</w:t>
      </w:r>
      <w:proofErr w:type="spellEnd"/>
      <w:r w:rsidRPr="0016687E">
        <w:t xml:space="preserve"> adverse impacts. The </w:t>
      </w:r>
      <w:r w:rsidR="00B67CD3">
        <w:t>RPF</w:t>
      </w:r>
      <w:r w:rsidR="00CC5B53">
        <w:t xml:space="preserve"> is an agreement between the </w:t>
      </w:r>
      <w:r w:rsidRPr="0016687E">
        <w:t>Borrower and the WB that outlines that in cases of involuntary land expropriation</w:t>
      </w:r>
      <w:r w:rsidR="00CC5B53">
        <w:t xml:space="preserve">, the Borrower will comply with </w:t>
      </w:r>
      <w:r w:rsidRPr="0016687E">
        <w:t>national laws relating to land expropriation and WB OP4.12 on Involuntary Resettlement. The purpose</w:t>
      </w:r>
      <w:r w:rsidR="00CC5B53">
        <w:t xml:space="preserve"> of the </w:t>
      </w:r>
      <w:r w:rsidR="00B67CD3">
        <w:t>RPF</w:t>
      </w:r>
      <w:r w:rsidR="00D17A39">
        <w:t xml:space="preserve"> </w:t>
      </w:r>
      <w:r w:rsidRPr="0016687E">
        <w:t xml:space="preserve">is to clarify land acquisition principles and </w:t>
      </w:r>
      <w:proofErr w:type="spellStart"/>
      <w:r w:rsidRPr="0016687E">
        <w:t>organisational</w:t>
      </w:r>
      <w:proofErr w:type="spellEnd"/>
      <w:r w:rsidRPr="0016687E">
        <w:t xml:space="preserve"> arrangem</w:t>
      </w:r>
      <w:r w:rsidR="00CC5B53">
        <w:t xml:space="preserve">ents and ensure that where land </w:t>
      </w:r>
      <w:r w:rsidRPr="0016687E">
        <w:t>acquisition is unavoidable, the borrower will consult project affected persons</w:t>
      </w:r>
      <w:r w:rsidR="00CC5B53">
        <w:t xml:space="preserve">, compensate for lost assets at </w:t>
      </w:r>
      <w:r w:rsidRPr="0016687E">
        <w:t xml:space="preserve">replacement costs and provide assistance to improve/ restore livelihoods </w:t>
      </w:r>
      <w:r w:rsidR="00CC5B53">
        <w:t>and standards of living to pre-</w:t>
      </w:r>
      <w:r w:rsidRPr="0016687E">
        <w:t>displacement levels in the event of displacement.</w:t>
      </w:r>
    </w:p>
    <w:p w:rsidR="00B67CD3" w:rsidRDefault="000B675E" w:rsidP="00B96EAB">
      <w:r>
        <w:t xml:space="preserve">All land use will be voluntary, either through leases or land donation, wherever possible.  Most of the investments are selected by beneficiaries, and the allocation of land will be part of participatory project design.  </w:t>
      </w:r>
      <w:r w:rsidR="00FF58F6">
        <w:t>All land access will start with</w:t>
      </w:r>
      <w:r>
        <w:t xml:space="preserve"> consultations with the relevant land owners and alternatives to involuntary land acquisition will be prioritized.  It is very unlikely that involuntary land acquisition will occur as a result of the project.</w:t>
      </w:r>
    </w:p>
    <w:p w:rsidR="004E4E84" w:rsidRPr="0016687E" w:rsidRDefault="004E4E84" w:rsidP="00B96EAB">
      <w:r w:rsidRPr="0016687E">
        <w:lastRenderedPageBreak/>
        <w:t xml:space="preserve">The contents of the </w:t>
      </w:r>
      <w:r w:rsidR="00B67CD3">
        <w:t>RPF</w:t>
      </w:r>
      <w:r w:rsidRPr="0016687E">
        <w:t xml:space="preserve"> need to cover the following:</w:t>
      </w:r>
    </w:p>
    <w:p w:rsidR="004E4E84" w:rsidRPr="0016687E" w:rsidRDefault="00A667DE" w:rsidP="00B96EAB">
      <w:r>
        <w:t xml:space="preserve">-    </w:t>
      </w:r>
      <w:r w:rsidR="004E4E84" w:rsidRPr="0016687E">
        <w:t>Description of project components which trigger land acquisition;</w:t>
      </w:r>
    </w:p>
    <w:p w:rsidR="004E4E84" w:rsidRPr="0016687E" w:rsidRDefault="00A667DE" w:rsidP="00B96EAB">
      <w:r>
        <w:t xml:space="preserve">-    </w:t>
      </w:r>
      <w:r w:rsidR="004E4E84" w:rsidRPr="0016687E">
        <w:t>Legal framework reviewing borrower laws and Bank policy requirements on expropriation;</w:t>
      </w:r>
    </w:p>
    <w:p w:rsidR="004E4E84" w:rsidRPr="0016687E" w:rsidRDefault="00A667DE" w:rsidP="00B96EAB">
      <w:r>
        <w:t xml:space="preserve">-    </w:t>
      </w:r>
      <w:r w:rsidR="004E4E84" w:rsidRPr="0016687E">
        <w:t>Methods of valuing assets, eligibility criteria and entitlement matrix;</w:t>
      </w:r>
    </w:p>
    <w:p w:rsidR="004E4E84" w:rsidRPr="0016687E" w:rsidRDefault="00A667DE" w:rsidP="00B96EAB">
      <w:r>
        <w:t xml:space="preserve">-    </w:t>
      </w:r>
      <w:r w:rsidR="004E4E84" w:rsidRPr="0016687E">
        <w:t>Estimated land take/ population displacement;</w:t>
      </w:r>
    </w:p>
    <w:p w:rsidR="004E4E84" w:rsidRPr="0016687E" w:rsidRDefault="00A667DE" w:rsidP="00B96EAB">
      <w:r>
        <w:t xml:space="preserve">-    </w:t>
      </w:r>
      <w:proofErr w:type="spellStart"/>
      <w:r w:rsidR="004E4E84" w:rsidRPr="0016687E">
        <w:t>Organisational</w:t>
      </w:r>
      <w:proofErr w:type="spellEnd"/>
      <w:r w:rsidR="004E4E84" w:rsidRPr="0016687E">
        <w:t xml:space="preserve"> arrangements for the delivery of entitlements;</w:t>
      </w:r>
    </w:p>
    <w:p w:rsidR="004E4E84" w:rsidRPr="0016687E" w:rsidRDefault="00B96EAB" w:rsidP="00B96EAB">
      <w:r>
        <w:t xml:space="preserve">-  </w:t>
      </w:r>
      <w:r w:rsidR="004E4E84" w:rsidRPr="0016687E">
        <w:t>Description of consultation process, grievance redress mechanisms, arrangem</w:t>
      </w:r>
      <w:r w:rsidR="00CC5B53">
        <w:t>ents for funding, timeline; and</w:t>
      </w:r>
    </w:p>
    <w:p w:rsidR="004E4E84" w:rsidRPr="0016687E" w:rsidRDefault="004E4E84" w:rsidP="00B96EAB">
      <w:r w:rsidRPr="0016687E">
        <w:t xml:space="preserve">-     Monitoring arrangements by the </w:t>
      </w:r>
      <w:r w:rsidR="00CC5B53">
        <w:t xml:space="preserve">project </w:t>
      </w:r>
      <w:r w:rsidR="003C463B">
        <w:t>management</w:t>
      </w:r>
      <w:r w:rsidR="00CC5B53">
        <w:t xml:space="preserve"> unit (P</w:t>
      </w:r>
      <w:r w:rsidR="003C463B">
        <w:t>M</w:t>
      </w:r>
      <w:r w:rsidR="00CC5B53">
        <w:t>U)</w:t>
      </w:r>
      <w:r w:rsidRPr="0016687E">
        <w:t>.</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BA3433" w:rsidRDefault="004E4E84" w:rsidP="00FF58F6">
      <w:pPr>
        <w:pStyle w:val="Heading1"/>
      </w:pPr>
      <w:bookmarkStart w:id="5" w:name="_Toc483323525"/>
      <w:r w:rsidRPr="00BA3433">
        <w:lastRenderedPageBreak/>
        <w:t>Introduction</w:t>
      </w:r>
      <w:bookmarkEnd w:id="5"/>
    </w:p>
    <w:p w:rsidR="00D17A39" w:rsidRDefault="00D17A39" w:rsidP="00B96EAB">
      <w:r>
        <w:t>The Increasing Resilience to Climate Change and Natural Hazards Project (IRCCNH) is a program of works for Vanuatu to improve the resilience of smallholders and communities to the impact of climate variability and change on food, household water security and livelihoods.  The project has been effective since April 2013, but in February 2017 t</w:t>
      </w:r>
      <w:r w:rsidRPr="00304C14">
        <w:t xml:space="preserve">he </w:t>
      </w:r>
      <w:r>
        <w:t>Government of Vanuatu (</w:t>
      </w:r>
      <w:proofErr w:type="spellStart"/>
      <w:r>
        <w:t>GoV</w:t>
      </w:r>
      <w:proofErr w:type="spellEnd"/>
      <w:r>
        <w:t>)</w:t>
      </w:r>
      <w:r w:rsidRPr="00304C14">
        <w:t xml:space="preserve"> requested a restructure to si</w:t>
      </w:r>
      <w:r>
        <w:t>mplify the project and focus on</w:t>
      </w:r>
      <w:r w:rsidRPr="00304C14">
        <w:t xml:space="preserve"> community-le</w:t>
      </w:r>
      <w:r>
        <w:t xml:space="preserve">vel investments following Tropical Cyclone (TC) Pam.  </w:t>
      </w:r>
    </w:p>
    <w:p w:rsidR="00D17A39" w:rsidRDefault="00D17A39" w:rsidP="00B96EAB">
      <w:r>
        <w:t>The revised Project Development Objective is to strengthen disaster risk management systems and pilot investments in select villages in the Recipient’s territory to increase resilience to the impacts of natural hazards and climate variability and change.  T</w:t>
      </w:r>
      <w:r w:rsidRPr="00932A7F">
        <w:t xml:space="preserve">he proposed support will focus on resilient livelihoods </w:t>
      </w:r>
      <w:r>
        <w:t>through increased access to fresh</w:t>
      </w:r>
      <w:r w:rsidRPr="00932A7F">
        <w:t xml:space="preserve"> water and </w:t>
      </w:r>
      <w:r>
        <w:t xml:space="preserve">improved agricultural methods, and will be implemented by the Project Management Unit in the </w:t>
      </w:r>
      <w:r w:rsidRPr="00304C14">
        <w:t>Vanuatu Metrology and Geo-hazards Department (VMGD)</w:t>
      </w:r>
      <w:r>
        <w:t>.</w:t>
      </w:r>
    </w:p>
    <w:p w:rsidR="00B119BB" w:rsidRPr="001644CF" w:rsidRDefault="00B119BB" w:rsidP="00FF58F6">
      <w:pPr>
        <w:pStyle w:val="BodyText3"/>
        <w:ind w:left="0"/>
        <w:rPr>
          <w:szCs w:val="20"/>
        </w:rPr>
      </w:pPr>
      <w:r w:rsidRPr="001644CF">
        <w:rPr>
          <w:szCs w:val="20"/>
        </w:rPr>
        <w:t xml:space="preserve">The main project outcomes would be: </w:t>
      </w:r>
    </w:p>
    <w:p w:rsidR="00B119BB" w:rsidRPr="00EF5B3F" w:rsidRDefault="00B119BB" w:rsidP="00B119BB">
      <w:pPr>
        <w:pStyle w:val="BodyText3"/>
        <w:numPr>
          <w:ilvl w:val="0"/>
          <w:numId w:val="3"/>
        </w:numPr>
        <w:rPr>
          <w:szCs w:val="20"/>
        </w:rPr>
      </w:pPr>
      <w:r w:rsidRPr="00EF5B3F">
        <w:rPr>
          <w:szCs w:val="20"/>
        </w:rPr>
        <w:t>Institutional strengthening of the PMU to build oversight and management capabilities for climate adaptation and disaster management projects/programs;</w:t>
      </w:r>
    </w:p>
    <w:p w:rsidR="00B119BB" w:rsidRPr="00EF5B3F" w:rsidRDefault="00B119BB" w:rsidP="00B119BB">
      <w:pPr>
        <w:pStyle w:val="BodyText3"/>
        <w:numPr>
          <w:ilvl w:val="0"/>
          <w:numId w:val="3"/>
        </w:numPr>
        <w:rPr>
          <w:szCs w:val="20"/>
        </w:rPr>
      </w:pPr>
      <w:r w:rsidRPr="00EF5B3F">
        <w:rPr>
          <w:szCs w:val="20"/>
        </w:rPr>
        <w:t xml:space="preserve">Enhanced access/uptake by farmers of improved technologies and plant material providing for more sustainable and climate resilient agricultural production; </w:t>
      </w:r>
    </w:p>
    <w:p w:rsidR="00B119BB" w:rsidRPr="00EF5B3F" w:rsidRDefault="00B119BB" w:rsidP="00B119BB">
      <w:pPr>
        <w:pStyle w:val="BodyText3"/>
        <w:numPr>
          <w:ilvl w:val="0"/>
          <w:numId w:val="3"/>
        </w:numPr>
        <w:rPr>
          <w:szCs w:val="20"/>
        </w:rPr>
      </w:pPr>
      <w:r w:rsidRPr="00EF5B3F">
        <w:rPr>
          <w:szCs w:val="20"/>
        </w:rPr>
        <w:t xml:space="preserve">Increased fresh water availability for rural communities through greater rainwater harvesting and storage capacity; and </w:t>
      </w:r>
    </w:p>
    <w:p w:rsidR="00B119BB" w:rsidRDefault="00B119BB" w:rsidP="00B119BB">
      <w:pPr>
        <w:pStyle w:val="BodyText3"/>
        <w:numPr>
          <w:ilvl w:val="0"/>
          <w:numId w:val="3"/>
        </w:numPr>
        <w:rPr>
          <w:szCs w:val="20"/>
        </w:rPr>
      </w:pPr>
      <w:r w:rsidRPr="00EF5B3F">
        <w:rPr>
          <w:szCs w:val="20"/>
        </w:rPr>
        <w:t>For at least two pilot coastal sites and two volcanic sites, increased community capacity to plan and implement disaster risk management and climate adaptation sub-projects/activities.</w:t>
      </w:r>
    </w:p>
    <w:p w:rsidR="00B119BB" w:rsidRPr="000B675E" w:rsidRDefault="00B119BB" w:rsidP="00FF58F6">
      <w:pPr>
        <w:pStyle w:val="BodyText3"/>
        <w:ind w:left="1800"/>
        <w:rPr>
          <w:szCs w:val="20"/>
        </w:rPr>
      </w:pPr>
    </w:p>
    <w:p w:rsidR="00B119BB" w:rsidRPr="000B675E" w:rsidRDefault="00B119BB" w:rsidP="00FF58F6">
      <w:pPr>
        <w:pStyle w:val="BodyText3"/>
        <w:ind w:left="0"/>
        <w:rPr>
          <w:szCs w:val="20"/>
        </w:rPr>
      </w:pPr>
      <w:r w:rsidRPr="000B675E">
        <w:rPr>
          <w:szCs w:val="20"/>
        </w:rPr>
        <w:t>Achievement of the development objective will be assessed through the following indicators:</w:t>
      </w:r>
    </w:p>
    <w:p w:rsidR="00B119BB" w:rsidRPr="000B675E" w:rsidRDefault="00B119BB" w:rsidP="00B119BB">
      <w:pPr>
        <w:pStyle w:val="ListParagraph"/>
        <w:numPr>
          <w:ilvl w:val="0"/>
          <w:numId w:val="4"/>
        </w:numPr>
        <w:autoSpaceDE w:val="0"/>
        <w:autoSpaceDN w:val="0"/>
        <w:adjustRightInd w:val="0"/>
        <w:spacing w:after="200" w:line="276" w:lineRule="auto"/>
        <w:rPr>
          <w:rFonts w:cs="Arial"/>
          <w:szCs w:val="20"/>
          <w:lang w:val="en-GB" w:eastAsia="en-AU"/>
        </w:rPr>
      </w:pPr>
      <w:r w:rsidRPr="000B675E">
        <w:rPr>
          <w:rFonts w:cs="Arial"/>
          <w:szCs w:val="20"/>
          <w:lang w:val="en-GB" w:eastAsia="en-AU"/>
        </w:rPr>
        <w:t>Farmers in areas targeted under the project have adopted climate resilient food crop production practices (number);</w:t>
      </w:r>
    </w:p>
    <w:p w:rsidR="00B119BB" w:rsidRPr="00CE3047" w:rsidRDefault="00B119BB" w:rsidP="00B119BB">
      <w:pPr>
        <w:pStyle w:val="ListParagraph"/>
        <w:numPr>
          <w:ilvl w:val="0"/>
          <w:numId w:val="4"/>
        </w:numPr>
        <w:autoSpaceDE w:val="0"/>
        <w:autoSpaceDN w:val="0"/>
        <w:adjustRightInd w:val="0"/>
        <w:spacing w:after="200" w:line="276" w:lineRule="auto"/>
        <w:rPr>
          <w:rFonts w:cs="Arial"/>
          <w:szCs w:val="20"/>
          <w:lang w:val="en-GB" w:eastAsia="en-AU"/>
        </w:rPr>
      </w:pPr>
      <w:r w:rsidRPr="000B675E">
        <w:rPr>
          <w:rFonts w:cs="Arial"/>
          <w:szCs w:val="20"/>
          <w:lang w:val="en-GB" w:eastAsia="en-AU"/>
        </w:rPr>
        <w:t>Households in</w:t>
      </w:r>
      <w:r w:rsidRPr="00CE3047">
        <w:rPr>
          <w:rFonts w:cs="Arial"/>
          <w:szCs w:val="20"/>
          <w:lang w:val="en-GB" w:eastAsia="en-AU"/>
        </w:rPr>
        <w:t xml:space="preserve"> areas targeted under the project satisfied with the quality and security of water supply (percent);</w:t>
      </w:r>
    </w:p>
    <w:p w:rsidR="00B119BB" w:rsidRPr="001644CF" w:rsidRDefault="00B119BB" w:rsidP="00B119BB">
      <w:pPr>
        <w:pStyle w:val="ListParagraph"/>
        <w:numPr>
          <w:ilvl w:val="0"/>
          <w:numId w:val="4"/>
        </w:numPr>
        <w:autoSpaceDE w:val="0"/>
        <w:autoSpaceDN w:val="0"/>
        <w:adjustRightInd w:val="0"/>
        <w:spacing w:after="200" w:line="276" w:lineRule="auto"/>
        <w:rPr>
          <w:rFonts w:cs="Arial"/>
          <w:szCs w:val="20"/>
          <w:lang w:val="en-GB" w:eastAsia="en-AU"/>
        </w:rPr>
      </w:pPr>
      <w:r w:rsidRPr="001644CF">
        <w:rPr>
          <w:rFonts w:cs="Arial"/>
          <w:szCs w:val="20"/>
          <w:lang w:val="en-GB" w:eastAsia="en-AU"/>
        </w:rPr>
        <w:t>Households in areas targeted under the project incorporating climate considerations in their decision making (number); and</w:t>
      </w:r>
    </w:p>
    <w:p w:rsidR="00B119BB" w:rsidRPr="00EF5B3F" w:rsidRDefault="00B119BB" w:rsidP="00B119BB">
      <w:pPr>
        <w:pStyle w:val="ListParagraph"/>
        <w:numPr>
          <w:ilvl w:val="0"/>
          <w:numId w:val="4"/>
        </w:numPr>
        <w:autoSpaceDE w:val="0"/>
        <w:autoSpaceDN w:val="0"/>
        <w:adjustRightInd w:val="0"/>
        <w:spacing w:after="200" w:line="276" w:lineRule="auto"/>
        <w:rPr>
          <w:rFonts w:cs="Arial"/>
          <w:szCs w:val="20"/>
          <w:lang w:val="en-GB" w:eastAsia="en-AU"/>
        </w:rPr>
      </w:pPr>
      <w:r w:rsidRPr="001644CF">
        <w:rPr>
          <w:rFonts w:cs="Arial"/>
          <w:szCs w:val="20"/>
          <w:lang w:val="en-GB" w:eastAsia="en-AU"/>
        </w:rPr>
        <w:t>National and sub-national instit</w:t>
      </w:r>
      <w:r w:rsidRPr="00EF5B3F">
        <w:rPr>
          <w:rFonts w:cs="Arial"/>
          <w:szCs w:val="20"/>
          <w:lang w:val="en-GB" w:eastAsia="en-AU"/>
        </w:rPr>
        <w:t>utions targeted by the project have functioning disaster risk management arrangements (number).</w:t>
      </w:r>
    </w:p>
    <w:p w:rsidR="00D17A39" w:rsidRPr="006A26D9" w:rsidRDefault="00D17A39" w:rsidP="000B675E">
      <w:pPr>
        <w:rPr>
          <w:lang w:val="en-NZ"/>
        </w:rPr>
      </w:pPr>
      <w:r>
        <w:t xml:space="preserve">This RPF supersedes the previous Land Acquisition Framework dated 20 March 2012.  </w:t>
      </w:r>
      <w:r>
        <w:rPr>
          <w:lang w:val="en-NZ"/>
        </w:rPr>
        <w:t>The r</w:t>
      </w:r>
      <w:r w:rsidRPr="006A26D9">
        <w:rPr>
          <w:lang w:val="en-NZ"/>
        </w:rPr>
        <w:t>ationale of a</w:t>
      </w:r>
      <w:r>
        <w:rPr>
          <w:lang w:val="en-NZ"/>
        </w:rPr>
        <w:t>pplying a</w:t>
      </w:r>
      <w:r w:rsidRPr="006A26D9">
        <w:rPr>
          <w:lang w:val="en-NZ"/>
        </w:rPr>
        <w:t xml:space="preserve"> framework is that specific </w:t>
      </w:r>
      <w:r>
        <w:rPr>
          <w:lang w:val="en-NZ"/>
        </w:rPr>
        <w:t xml:space="preserve">details of </w:t>
      </w:r>
      <w:r w:rsidRPr="006A26D9">
        <w:rPr>
          <w:lang w:val="en-NZ"/>
        </w:rPr>
        <w:t xml:space="preserve">the </w:t>
      </w:r>
      <w:r>
        <w:rPr>
          <w:lang w:val="en-NZ"/>
        </w:rPr>
        <w:t>project activities</w:t>
      </w:r>
      <w:r w:rsidRPr="006A26D9">
        <w:rPr>
          <w:lang w:val="en-NZ"/>
        </w:rPr>
        <w:t xml:space="preserve"> will only be known during </w:t>
      </w:r>
      <w:r>
        <w:rPr>
          <w:lang w:val="en-NZ"/>
        </w:rPr>
        <w:t xml:space="preserve">project </w:t>
      </w:r>
      <w:r w:rsidRPr="006A26D9">
        <w:rPr>
          <w:lang w:val="en-NZ"/>
        </w:rPr>
        <w:t>implementation.</w:t>
      </w:r>
      <w:r>
        <w:rPr>
          <w:lang w:val="en-NZ"/>
        </w:rPr>
        <w:t xml:space="preserve">  The p</w:t>
      </w:r>
      <w:r w:rsidRPr="006A26D9">
        <w:rPr>
          <w:lang w:val="en-NZ"/>
        </w:rPr>
        <w:t xml:space="preserve">urpose of a framework is to guide the </w:t>
      </w:r>
      <w:r>
        <w:rPr>
          <w:lang w:val="en-NZ"/>
        </w:rPr>
        <w:t>VMGD</w:t>
      </w:r>
      <w:r w:rsidRPr="006A26D9">
        <w:rPr>
          <w:lang w:val="en-NZ"/>
        </w:rPr>
        <w:t xml:space="preserve"> on </w:t>
      </w:r>
      <w:r>
        <w:rPr>
          <w:lang w:val="en-NZ"/>
        </w:rPr>
        <w:t xml:space="preserve">how to screen the activities and manage any issues </w:t>
      </w:r>
      <w:r w:rsidRPr="006A26D9">
        <w:rPr>
          <w:lang w:val="en-NZ"/>
        </w:rPr>
        <w:t xml:space="preserve">during implementation. </w:t>
      </w:r>
    </w:p>
    <w:p w:rsidR="00D17A39" w:rsidRDefault="00D17A39" w:rsidP="000B675E">
      <w:r>
        <w:t>An Environmental and Social Management Framework (ESMF), dated May 2017, covers aspects of the Project in relation to World Bank Safeguards Policy OP4.01 Environmental Assessment, OP4.04 Natural Habitats and 4.09 Physical Cultural Resources.</w:t>
      </w:r>
    </w:p>
    <w:p w:rsidR="00D17A39" w:rsidRDefault="00D17A39" w:rsidP="000B675E">
      <w:r w:rsidRPr="008A01D7">
        <w:t>This document is</w:t>
      </w:r>
      <w:r w:rsidRPr="005B7E97">
        <w:rPr>
          <w:b/>
        </w:rPr>
        <w:t xml:space="preserve"> </w:t>
      </w:r>
      <w:r>
        <w:rPr>
          <w:b/>
        </w:rPr>
        <w:t>final version</w:t>
      </w:r>
      <w:r>
        <w:t xml:space="preserve"> and will form part of the legal agreements between </w:t>
      </w:r>
      <w:proofErr w:type="spellStart"/>
      <w:r>
        <w:t>GoV</w:t>
      </w:r>
      <w:proofErr w:type="spellEnd"/>
      <w:r>
        <w:t xml:space="preserve"> and the World Bank. It will be officially disclosed by both partners, and may be amended from time to time as agreed between the partners.</w:t>
      </w:r>
    </w:p>
    <w:p w:rsidR="00D17A39" w:rsidRDefault="00D17A39" w:rsidP="00FF58F6">
      <w:pPr>
        <w:pStyle w:val="Heading2"/>
      </w:pPr>
      <w:bookmarkStart w:id="6" w:name="_Toc483323526"/>
      <w:r>
        <w:t>Project Background</w:t>
      </w:r>
      <w:bookmarkEnd w:id="6"/>
    </w:p>
    <w:p w:rsidR="00D17A39" w:rsidRDefault="00D17A39" w:rsidP="00D17A39">
      <w:pPr>
        <w:rPr>
          <w:lang w:val="en-NZ"/>
        </w:rPr>
      </w:pPr>
      <w:r w:rsidRPr="00735557">
        <w:rPr>
          <w:lang w:val="en-NZ"/>
        </w:rPr>
        <w:t xml:space="preserve">Geographically </w:t>
      </w:r>
      <w:r>
        <w:rPr>
          <w:lang w:val="en-NZ"/>
        </w:rPr>
        <w:t xml:space="preserve">Vanuatu </w:t>
      </w:r>
      <w:r w:rsidRPr="00735557">
        <w:rPr>
          <w:lang w:val="en-NZ"/>
        </w:rPr>
        <w:t>is located in the "ring of fire" and at the centre of the Pacific "cyclone belt".</w:t>
      </w:r>
      <w:r>
        <w:rPr>
          <w:lang w:val="en-NZ"/>
        </w:rPr>
        <w:t xml:space="preserve">  </w:t>
      </w:r>
      <w:r w:rsidRPr="00735557">
        <w:rPr>
          <w:lang w:val="en-NZ"/>
        </w:rPr>
        <w:t>This results in a relatively high frequency of volcanic eruptions, cyclones, earthquakes,</w:t>
      </w:r>
      <w:r>
        <w:rPr>
          <w:lang w:val="en-NZ"/>
        </w:rPr>
        <w:t xml:space="preserve"> </w:t>
      </w:r>
      <w:r w:rsidRPr="00735557">
        <w:rPr>
          <w:lang w:val="en-NZ"/>
        </w:rPr>
        <w:t>tsunamis, storm surges, coastal and river flooding and landslides.</w:t>
      </w:r>
    </w:p>
    <w:p w:rsidR="00D17A39" w:rsidRDefault="00D17A39" w:rsidP="00D17A39">
      <w:pPr>
        <w:rPr>
          <w:lang w:val="en-NZ"/>
        </w:rPr>
      </w:pPr>
      <w:r w:rsidRPr="00932A7F">
        <w:rPr>
          <w:lang w:val="en-NZ"/>
        </w:rPr>
        <w:lastRenderedPageBreak/>
        <w:t>The impacts of climate change, including increased intensity of extreme events and changes to agricultural</w:t>
      </w:r>
      <w:r>
        <w:rPr>
          <w:lang w:val="en-NZ"/>
        </w:rPr>
        <w:t xml:space="preserve"> </w:t>
      </w:r>
      <w:r w:rsidRPr="00932A7F">
        <w:rPr>
          <w:lang w:val="en-NZ"/>
        </w:rPr>
        <w:t>productivity and water availability, are already being felt across Vanuatu, and are projected to increase in the</w:t>
      </w:r>
      <w:r>
        <w:rPr>
          <w:lang w:val="en-NZ"/>
        </w:rPr>
        <w:t xml:space="preserve"> </w:t>
      </w:r>
      <w:r w:rsidRPr="00932A7F">
        <w:rPr>
          <w:lang w:val="en-NZ"/>
        </w:rPr>
        <w:t>future. The results of climate scenario models suggest that average maximum temperature will increase,</w:t>
      </w:r>
      <w:r>
        <w:rPr>
          <w:lang w:val="en-NZ"/>
        </w:rPr>
        <w:t xml:space="preserve"> </w:t>
      </w:r>
      <w:r w:rsidRPr="00932A7F">
        <w:rPr>
          <w:lang w:val="en-NZ"/>
        </w:rPr>
        <w:t>precipitation will most likely increase (or only slightly decrease), extreme temperatures will increase in frequency,</w:t>
      </w:r>
      <w:r>
        <w:rPr>
          <w:lang w:val="en-NZ"/>
        </w:rPr>
        <w:t xml:space="preserve"> </w:t>
      </w:r>
      <w:r w:rsidRPr="00932A7F">
        <w:rPr>
          <w:lang w:val="en-NZ"/>
        </w:rPr>
        <w:t>extreme precipitation will increase in frequency, number of dry days will increase, sea level will rise and coral</w:t>
      </w:r>
      <w:r>
        <w:rPr>
          <w:lang w:val="en-NZ"/>
        </w:rPr>
        <w:t xml:space="preserve"> </w:t>
      </w:r>
      <w:r w:rsidRPr="00932A7F">
        <w:rPr>
          <w:lang w:val="en-NZ"/>
        </w:rPr>
        <w:t>reefs will become marginal (leading to further coastal erosion).</w:t>
      </w:r>
    </w:p>
    <w:p w:rsidR="00D17A39" w:rsidRDefault="00D17A39" w:rsidP="00D17A39">
      <w:r>
        <w:t xml:space="preserve">Between March 12 and 14, 2015, Tropical Cyclone Pam (TC Pam) struck 22 islands of Vanuatu as an extremely destructive category 5 cyclone.  The total economic damage and losses as a result of the cyclone was estimated to be approximately US$450 million, which equates to approximately 64 percent of the country’s GDP.  </w:t>
      </w:r>
    </w:p>
    <w:p w:rsidR="00D17A39" w:rsidRDefault="00D17A39" w:rsidP="00D17A39">
      <w:r>
        <w:t xml:space="preserve">The impact of TC Pam on Vanuatu included severe and widespread damage, which was worst in </w:t>
      </w:r>
      <w:proofErr w:type="spellStart"/>
      <w:r>
        <w:t>Shefa</w:t>
      </w:r>
      <w:proofErr w:type="spellEnd"/>
      <w:r>
        <w:t xml:space="preserve"> and </w:t>
      </w:r>
      <w:proofErr w:type="spellStart"/>
      <w:r>
        <w:t>Tafea</w:t>
      </w:r>
      <w:proofErr w:type="spellEnd"/>
      <w:r>
        <w:t xml:space="preserve"> provinces, in particular on the larger islands of </w:t>
      </w:r>
      <w:proofErr w:type="spellStart"/>
      <w:r>
        <w:t>Tanna</w:t>
      </w:r>
      <w:proofErr w:type="spellEnd"/>
      <w:r>
        <w:t xml:space="preserve">, </w:t>
      </w:r>
      <w:proofErr w:type="spellStart"/>
      <w:r>
        <w:t>Erromango</w:t>
      </w:r>
      <w:proofErr w:type="spellEnd"/>
      <w:r>
        <w:t xml:space="preserve"> and Efate and the smaller Shepard islands.  Eleven fatalities were recorded in </w:t>
      </w:r>
      <w:proofErr w:type="spellStart"/>
      <w:r>
        <w:t>Tafea</w:t>
      </w:r>
      <w:proofErr w:type="spellEnd"/>
      <w:r>
        <w:t xml:space="preserve"> and </w:t>
      </w:r>
      <w:proofErr w:type="spellStart"/>
      <w:r>
        <w:t>Shefa</w:t>
      </w:r>
      <w:proofErr w:type="spellEnd"/>
      <w:r>
        <w:t xml:space="preserve"> provinces.  As many as 65,000 people were displaced from their homes, around 17,000 buildings were damaged or destroyed, and the livelihoods of at least 80 percent of Vanuatu’s rural population was compromised due to large scale destruction of crops</w:t>
      </w:r>
      <w:r w:rsidRPr="00D73E40">
        <w:t>.</w:t>
      </w:r>
      <w:r>
        <w:rPr>
          <w:rStyle w:val="FootnoteReference"/>
        </w:rPr>
        <w:footnoteReference w:id="1"/>
      </w:r>
    </w:p>
    <w:p w:rsidR="00D17A39" w:rsidRDefault="00D17A39" w:rsidP="00D17A39">
      <w:r>
        <w:t xml:space="preserve">The project has been effective since April 2013.  The Project Management Unit (PMU) is operating at full capacity with all positions filled; construction of two Provincial Disaster Centers was completed in </w:t>
      </w:r>
      <w:proofErr w:type="gramStart"/>
      <w:r>
        <w:t>May  2016</w:t>
      </w:r>
      <w:proofErr w:type="gramEnd"/>
      <w:r>
        <w:t xml:space="preserve">; a customized curriculum for Provincial Disaster Officers has been developed and the National Disaster Act reviewed; the construction of the housing to accommodate seismic sensors has been completed and seismic sensors procured; they are scheduled to be tested and installed by May 2017. </w:t>
      </w:r>
    </w:p>
    <w:p w:rsidR="00D17A39" w:rsidRDefault="00D17A39" w:rsidP="00D17A39">
      <w:r>
        <w:t>Under Component 2 (Increasing Community Resilience on Active Volcanic Islands and in Coastal Areas) (the proposed new Component name is ‘Increasing Community Resilience in Areas Affected by Tropical Cyclone Pam’) Government agencies have developed planning processes and methodologies for disaster risk management and climate adaptation. Micro-project identification and implementation has begun, including a draft micro-project manual.</w:t>
      </w:r>
    </w:p>
    <w:p w:rsidR="00D17A39" w:rsidRDefault="00D17A39" w:rsidP="00D17A39">
      <w:r>
        <w:t xml:space="preserve">Under Component 3 (Promotion of Improved Technologies for Food Crop Production and Resilience to Climate Change) VARTC has established field plantings on its main site on Santo (to represent the climate of the north of Vanuatu) and collaborated with a research institution for testing and multiplication near Port Vila (to represent the climate for the south of Vanuatu). In addition, improved food crop varieties have been tested and multiplied for distribution to farmers in various islands. </w:t>
      </w:r>
    </w:p>
    <w:p w:rsidR="00D17A39" w:rsidRDefault="00D17A39" w:rsidP="00D17A39">
      <w:r>
        <w:t xml:space="preserve">Under Component 4 (Rural Water Security: Increased Access to Secure Water Supply) water inventories for </w:t>
      </w:r>
      <w:proofErr w:type="spellStart"/>
      <w:r>
        <w:t>Torba</w:t>
      </w:r>
      <w:proofErr w:type="spellEnd"/>
      <w:r>
        <w:t xml:space="preserve"> and </w:t>
      </w:r>
      <w:proofErr w:type="spellStart"/>
      <w:r>
        <w:t>Penama</w:t>
      </w:r>
      <w:proofErr w:type="spellEnd"/>
      <w:r>
        <w:t xml:space="preserve"> provinces have been completed and 20 water tanks have been placed in identified sites in Efate. Further activities under the water component </w:t>
      </w:r>
      <w:r w:rsidR="004E656E">
        <w:t>are now</w:t>
      </w:r>
      <w:r>
        <w:t xml:space="preserve"> integrate</w:t>
      </w:r>
      <w:r w:rsidR="004E656E">
        <w:t>d</w:t>
      </w:r>
      <w:r>
        <w:t xml:space="preserve"> with the micro-projects under Component 2.</w:t>
      </w:r>
    </w:p>
    <w:p w:rsidR="00D17A39" w:rsidRDefault="00D17A39" w:rsidP="00FF58F6">
      <w:pPr>
        <w:pStyle w:val="Heading2"/>
      </w:pPr>
      <w:bookmarkStart w:id="7" w:name="_Toc380954812"/>
      <w:bookmarkStart w:id="8" w:name="_Toc483323527"/>
      <w:bookmarkStart w:id="9" w:name="_Toc295296812"/>
      <w:bookmarkStart w:id="10" w:name="_Toc251863642"/>
      <w:r w:rsidRPr="00D17A39">
        <w:t>Implementation</w:t>
      </w:r>
      <w:r>
        <w:t xml:space="preserve"> Arrangements</w:t>
      </w:r>
      <w:bookmarkEnd w:id="7"/>
      <w:bookmarkEnd w:id="8"/>
    </w:p>
    <w:p w:rsidR="00D17A39" w:rsidRDefault="00D17A39" w:rsidP="00D17A39">
      <w:r w:rsidRPr="004259A8">
        <w:t xml:space="preserve">The </w:t>
      </w:r>
      <w:r>
        <w:t>executing agency is the Ministry of Finance and Economic Management (</w:t>
      </w:r>
      <w:proofErr w:type="spellStart"/>
      <w:r>
        <w:t>MoFEM</w:t>
      </w:r>
      <w:proofErr w:type="spellEnd"/>
      <w:r>
        <w:t xml:space="preserve">), and the fiduciary </w:t>
      </w:r>
      <w:r w:rsidRPr="004259A8">
        <w:t>implementing agency</w:t>
      </w:r>
      <w:r>
        <w:t xml:space="preserve"> is the VMGD, part of the Ministry of Climate Change Adaptation, Meteorology, Geo-Hazards, Disaster Management, Environment and Energy.</w:t>
      </w:r>
      <w:r w:rsidRPr="00422EAE">
        <w:t xml:space="preserve"> </w:t>
      </w:r>
      <w:r>
        <w:t xml:space="preserve"> Implementation is carried out by the Project Management Unit (PMU) within the department.</w:t>
      </w:r>
    </w:p>
    <w:p w:rsidR="00D17A39" w:rsidRDefault="00D17A39" w:rsidP="00FF58F6">
      <w:pPr>
        <w:pStyle w:val="Heading2"/>
      </w:pPr>
      <w:bookmarkStart w:id="11" w:name="_Toc483323528"/>
      <w:bookmarkStart w:id="12" w:name="_Toc380954813"/>
      <w:bookmarkStart w:id="13" w:name="_Toc40780173"/>
      <w:bookmarkEnd w:id="9"/>
      <w:bookmarkEnd w:id="10"/>
      <w:r w:rsidRPr="00A64CE8">
        <w:lastRenderedPageBreak/>
        <w:t xml:space="preserve">Project </w:t>
      </w:r>
      <w:r w:rsidRPr="00D17A39">
        <w:t>Components</w:t>
      </w:r>
      <w:bookmarkEnd w:id="11"/>
      <w:r w:rsidRPr="00A64CE8">
        <w:t xml:space="preserve"> </w:t>
      </w:r>
      <w:bookmarkEnd w:id="12"/>
    </w:p>
    <w:p w:rsidR="004A5EE5" w:rsidRPr="004A5EE5" w:rsidRDefault="004A5EE5" w:rsidP="00FF58F6">
      <w:pPr>
        <w:pStyle w:val="Heading3"/>
      </w:pPr>
      <w:r>
        <w:t>Component 1 Institutional Strengthening for Climate Change Adaptation and Disaster Risk management</w:t>
      </w:r>
    </w:p>
    <w:p w:rsidR="00D17A39" w:rsidRPr="006E14F3" w:rsidRDefault="00D17A39" w:rsidP="00D17A39">
      <w:r w:rsidRPr="006E14F3">
        <w:rPr>
          <w:i/>
          <w:iCs/>
        </w:rPr>
        <w:t xml:space="preserve">Sub-Component 1.1: Strengthening of the NAB Project Management Unit (PMU) </w:t>
      </w:r>
      <w:r w:rsidRPr="006E14F3">
        <w:t>by building capacity in project management, procurement, financial management and monitoring and evaluation through: (</w:t>
      </w:r>
      <w:proofErr w:type="spellStart"/>
      <w:r w:rsidRPr="006E14F3">
        <w:t>i</w:t>
      </w:r>
      <w:proofErr w:type="spellEnd"/>
      <w:r w:rsidRPr="006E14F3">
        <w:t>) the effective implementation of the Project and of the Japan Human Res</w:t>
      </w:r>
      <w:r>
        <w:t>ources Development (PHRD) Grant</w:t>
      </w:r>
      <w:r>
        <w:rPr>
          <w:rStyle w:val="FootnoteReference"/>
        </w:rPr>
        <w:footnoteReference w:id="2"/>
      </w:r>
      <w:r w:rsidRPr="006E14F3">
        <w:t>, (ii) training for new or additional staff upon their assignment to the PMU, and (iii) the development of Operational Manuals to guide overall PMU operation, Subproject selection, formulation, and implementation.</w:t>
      </w:r>
    </w:p>
    <w:p w:rsidR="00D17A39" w:rsidRDefault="00D17A39" w:rsidP="00D17A39">
      <w:r w:rsidRPr="006E14F3">
        <w:rPr>
          <w:i/>
          <w:iCs/>
        </w:rPr>
        <w:t xml:space="preserve">Sub-Component 1.2: Strengthening the National Disaster Management Office </w:t>
      </w:r>
      <w:r w:rsidRPr="006E14F3">
        <w:t>by (</w:t>
      </w:r>
      <w:proofErr w:type="spellStart"/>
      <w:r w:rsidRPr="006E14F3">
        <w:t>i</w:t>
      </w:r>
      <w:proofErr w:type="spellEnd"/>
      <w:r w:rsidRPr="006E14F3">
        <w:t>) reviewing the Recipient’s National Disaster Management Act; (ii) developing a strategic plan and organizational structure; (iii) developing the capacity of newly recruited staff; (iv) facilitating learning and twinning with the national disaster management offices of the Solomon Islands and other Pacific Islands countries; (v) establishing fully equipped provincial disaster coordination centers and provincial disaster risk managemen</w:t>
      </w:r>
      <w:r>
        <w:t xml:space="preserve">t and climate change adaptation plans in the provinces of </w:t>
      </w:r>
      <w:proofErr w:type="spellStart"/>
      <w:r>
        <w:t>Tafea</w:t>
      </w:r>
      <w:proofErr w:type="spellEnd"/>
      <w:r>
        <w:t xml:space="preserve"> and </w:t>
      </w:r>
      <w:proofErr w:type="spellStart"/>
      <w:r>
        <w:t>Torba</w:t>
      </w:r>
      <w:proofErr w:type="spellEnd"/>
      <w:r>
        <w:t xml:space="preserve">; and (vi) developing volcano contingency plans for </w:t>
      </w:r>
      <w:proofErr w:type="spellStart"/>
      <w:r>
        <w:t>Tanna</w:t>
      </w:r>
      <w:proofErr w:type="spellEnd"/>
      <w:r>
        <w:t xml:space="preserve">, </w:t>
      </w:r>
      <w:proofErr w:type="spellStart"/>
      <w:r>
        <w:t>Gaua</w:t>
      </w:r>
      <w:proofErr w:type="spellEnd"/>
      <w:r>
        <w:t xml:space="preserve"> and other high risk volcanic islands. </w:t>
      </w:r>
    </w:p>
    <w:p w:rsidR="00D17A39" w:rsidRDefault="00D17A39" w:rsidP="00D17A39">
      <w:r w:rsidRPr="007E0877">
        <w:rPr>
          <w:i/>
        </w:rPr>
        <w:t xml:space="preserve">Sub-component 1.3: Strengthened Early Warning </w:t>
      </w:r>
      <w:r>
        <w:t>Systems by (</w:t>
      </w:r>
      <w:proofErr w:type="spellStart"/>
      <w:r>
        <w:t>i</w:t>
      </w:r>
      <w:proofErr w:type="spellEnd"/>
      <w:r>
        <w:t>) establishing real-time data communication network linking the existing volcano, seismic and weather observing stations with the national data and warning center; (ii) strengthening multi-hazard standard operating procedures, and iii) strengthen the capacity of the national multi-hazard warning and emergency operations center to manage and respond to disasters, especially from climate-related events.</w:t>
      </w:r>
    </w:p>
    <w:p w:rsidR="00D17A39" w:rsidRDefault="00D17A39" w:rsidP="00FF58F6">
      <w:pPr>
        <w:pStyle w:val="Heading3"/>
      </w:pPr>
      <w:r>
        <w:t>Component 2: Increasing Community Resilience in Areas Affected by Tropical Cyclone Pam</w:t>
      </w:r>
    </w:p>
    <w:p w:rsidR="00D17A39" w:rsidRDefault="00D17A39" w:rsidP="00D17A39">
      <w:r>
        <w:t>This component will look at increasing the ability of national, regional and community-level stakeholders to work together to enhance disaster and climate resilience in rural communities by;</w:t>
      </w:r>
    </w:p>
    <w:p w:rsidR="00D17A39" w:rsidRDefault="00D17A39" w:rsidP="00D17A39">
      <w:r w:rsidRPr="007E0877">
        <w:rPr>
          <w:i/>
        </w:rPr>
        <w:t xml:space="preserve">Subcomponent 2.1: Strengthened Methods, Processes and Protocols for Climate Change Adaptation and DRM </w:t>
      </w:r>
      <w:r>
        <w:t>to develop the ability of stakeholders at all levels.  The component will include support on the development, preparation, delivery and monitoring and evaluation of micro-projects. Micro-projects are community level activities to be identified and implemented by the communities and/or provincial government, monitored and evaluated by VMGD in cooperation with villages and provincial governments</w:t>
      </w:r>
    </w:p>
    <w:p w:rsidR="00D17A39" w:rsidRDefault="00D17A39" w:rsidP="00D17A39">
      <w:r w:rsidRPr="007E0877">
        <w:rPr>
          <w:i/>
        </w:rPr>
        <w:t>Subcomponent 2.2: Enhancing Community and Ecosystem-based Adaptation and Disaster Risk Management in Coastal Areas and on Active Volcanic Islands</w:t>
      </w:r>
      <w:r>
        <w:t xml:space="preserve"> </w:t>
      </w:r>
      <w:r w:rsidRPr="0083725D">
        <w:t xml:space="preserve">by implementing the methods, processes and protocols developed under Component 2.1 through </w:t>
      </w:r>
      <w:r>
        <w:t xml:space="preserve">the carrying out of </w:t>
      </w:r>
      <w:r w:rsidRPr="0083725D">
        <w:t xml:space="preserve">Micro-Projects for communities affected by </w:t>
      </w:r>
      <w:r>
        <w:t>TC</w:t>
      </w:r>
      <w:r w:rsidRPr="0083725D">
        <w:t xml:space="preserve"> Pam</w:t>
      </w:r>
      <w:r>
        <w:t xml:space="preserve">.  </w:t>
      </w:r>
    </w:p>
    <w:p w:rsidR="00D17A39" w:rsidRDefault="00D17A39" w:rsidP="00FF58F6">
      <w:pPr>
        <w:pStyle w:val="Heading2"/>
      </w:pPr>
      <w:bookmarkStart w:id="14" w:name="_Toc483323529"/>
      <w:r w:rsidRPr="00D17A39">
        <w:t>Typologies</w:t>
      </w:r>
      <w:r>
        <w:t xml:space="preserve"> of Micro-Projects</w:t>
      </w:r>
      <w:bookmarkEnd w:id="14"/>
    </w:p>
    <w:p w:rsidR="00D17A39" w:rsidRPr="00AF697A" w:rsidRDefault="00D17A39" w:rsidP="00D17A39">
      <w:pPr>
        <w:rPr>
          <w:i/>
        </w:rPr>
      </w:pPr>
      <w:r w:rsidRPr="00AF697A">
        <w:rPr>
          <w:i/>
        </w:rPr>
        <w:t>What types of activities are eligible for funding?</w:t>
      </w:r>
    </w:p>
    <w:p w:rsidR="00D17A39" w:rsidRDefault="00D17A39" w:rsidP="004E656E">
      <w:r>
        <w:t xml:space="preserve">Eligible activities are those which help the community to reduce the risk of climate change and natural hazards.  Only activities which have been identified through baseline surveys conducted by VMGD/PMU partners and endorsed by the Provincial Technical Advisory Commission (PTAC) and Provincial Secretary General will be eligible for funding. Micro-projects must also be consistent with the safeguards instruments of the project.  Existing and relevant community plans endorsed by the local Area Council </w:t>
      </w:r>
      <w:r>
        <w:lastRenderedPageBreak/>
        <w:t xml:space="preserve">and Provincial Secretary General may also be utilized to </w:t>
      </w:r>
      <w:proofErr w:type="spellStart"/>
      <w:r>
        <w:t>emphasise</w:t>
      </w:r>
      <w:proofErr w:type="spellEnd"/>
      <w:r>
        <w:t xml:space="preserve"> activities as identified by the baseline surveys.</w:t>
      </w:r>
    </w:p>
    <w:p w:rsidR="00D17A39" w:rsidRDefault="00D17A39" w:rsidP="004E656E">
      <w:r>
        <w:t>Examples of appropriate community plans are:</w:t>
      </w:r>
    </w:p>
    <w:p w:rsidR="00D17A39" w:rsidRDefault="00D17A39" w:rsidP="00D17A39">
      <w:pPr>
        <w:pStyle w:val="ListParagraph"/>
        <w:numPr>
          <w:ilvl w:val="0"/>
          <w:numId w:val="9"/>
        </w:numPr>
        <w:spacing w:after="200" w:line="276" w:lineRule="auto"/>
      </w:pPr>
      <w:r>
        <w:t>Provincial Disaster Plan (produced under the original IRCCNH – Component 1.2).</w:t>
      </w:r>
    </w:p>
    <w:p w:rsidR="00D17A39" w:rsidRDefault="00D17A39" w:rsidP="00D17A39">
      <w:pPr>
        <w:pStyle w:val="ListParagraph"/>
        <w:numPr>
          <w:ilvl w:val="0"/>
          <w:numId w:val="9"/>
        </w:numPr>
        <w:spacing w:after="200" w:line="276" w:lineRule="auto"/>
      </w:pPr>
      <w:r>
        <w:t>Area Council Development Plan (produced under the original IRCCNH – Component 2.2).</w:t>
      </w:r>
    </w:p>
    <w:p w:rsidR="00D17A39" w:rsidRDefault="00D17A39" w:rsidP="00D17A39">
      <w:pPr>
        <w:pStyle w:val="ListParagraph"/>
        <w:numPr>
          <w:ilvl w:val="0"/>
          <w:numId w:val="9"/>
        </w:numPr>
        <w:spacing w:after="200" w:line="276" w:lineRule="auto"/>
      </w:pPr>
      <w:r>
        <w:t>Community Risk Assessment and Action Plan (produced under the original IRCCNH – Component 2.2).</w:t>
      </w:r>
    </w:p>
    <w:p w:rsidR="00D17A39" w:rsidRDefault="00D17A39" w:rsidP="00D17A39">
      <w:pPr>
        <w:pStyle w:val="ListParagraph"/>
        <w:numPr>
          <w:ilvl w:val="0"/>
          <w:numId w:val="9"/>
        </w:numPr>
        <w:spacing w:after="200" w:line="276" w:lineRule="auto"/>
      </w:pPr>
      <w:r>
        <w:t>Water Master Plan (produced under the original IRCCNH – Component 4).</w:t>
      </w:r>
    </w:p>
    <w:p w:rsidR="00D17A39" w:rsidRPr="00AF697A" w:rsidRDefault="00D17A39" w:rsidP="00D17A39">
      <w:pPr>
        <w:rPr>
          <w:i/>
        </w:rPr>
      </w:pPr>
      <w:r w:rsidRPr="00AF697A">
        <w:rPr>
          <w:i/>
        </w:rPr>
        <w:t>Classification of Activities</w:t>
      </w:r>
    </w:p>
    <w:p w:rsidR="00D17A39" w:rsidRDefault="00D17A39" w:rsidP="004E656E">
      <w:r>
        <w:t>The types of activities that can be funded can be classified under two broad categories:</w:t>
      </w:r>
    </w:p>
    <w:p w:rsidR="00D17A39" w:rsidRDefault="00D17A39" w:rsidP="00D17A39">
      <w:pPr>
        <w:pStyle w:val="ListParagraph"/>
        <w:numPr>
          <w:ilvl w:val="0"/>
          <w:numId w:val="10"/>
        </w:numPr>
        <w:spacing w:after="200" w:line="276" w:lineRule="auto"/>
      </w:pPr>
      <w:r>
        <w:t>Climate Change Adaptation Activities – Defined as those activities that reduce the vulnerability of communities or ecosystems to the impacts of climate change and climate-related risks.</w:t>
      </w:r>
    </w:p>
    <w:p w:rsidR="00D17A39" w:rsidRDefault="00D17A39" w:rsidP="00D17A39">
      <w:pPr>
        <w:pStyle w:val="ListParagraph"/>
      </w:pPr>
      <w:r>
        <w:t xml:space="preserve">Example: </w:t>
      </w:r>
    </w:p>
    <w:p w:rsidR="00D17A39" w:rsidRDefault="00D17A39" w:rsidP="00D17A39">
      <w:pPr>
        <w:pStyle w:val="ListParagraph"/>
        <w:numPr>
          <w:ilvl w:val="1"/>
          <w:numId w:val="10"/>
        </w:numPr>
        <w:spacing w:after="200" w:line="276" w:lineRule="auto"/>
      </w:pPr>
      <w:r>
        <w:t xml:space="preserve">Installation of alternative water supply sources to </w:t>
      </w:r>
      <w:proofErr w:type="spellStart"/>
      <w:r>
        <w:t>minimise</w:t>
      </w:r>
      <w:proofErr w:type="spellEnd"/>
      <w:r>
        <w:t xml:space="preserve"> the risk of droughts, </w:t>
      </w:r>
    </w:p>
    <w:p w:rsidR="00D17A39" w:rsidRDefault="00D17A39" w:rsidP="00D17A39">
      <w:pPr>
        <w:pStyle w:val="ListParagraph"/>
        <w:numPr>
          <w:ilvl w:val="1"/>
          <w:numId w:val="10"/>
        </w:numPr>
        <w:spacing w:after="200" w:line="276" w:lineRule="auto"/>
      </w:pPr>
      <w:r>
        <w:t xml:space="preserve">Cultivation or distribution of more resilient food crops to increasing temperatures. </w:t>
      </w:r>
    </w:p>
    <w:p w:rsidR="00D17A39" w:rsidRDefault="00D17A39" w:rsidP="00D17A39">
      <w:pPr>
        <w:pStyle w:val="ListParagraph"/>
        <w:numPr>
          <w:ilvl w:val="0"/>
          <w:numId w:val="10"/>
        </w:numPr>
        <w:spacing w:after="200" w:line="276" w:lineRule="auto"/>
      </w:pPr>
      <w:r>
        <w:t xml:space="preserve">Disaster Risk Reduction Activities – Defined as those activities </w:t>
      </w:r>
      <w:proofErr w:type="gramStart"/>
      <w:r>
        <w:t>that reduce</w:t>
      </w:r>
      <w:proofErr w:type="gramEnd"/>
      <w:r>
        <w:t xml:space="preserve"> the risk (i.e. likelihood or consequence) of natural disasters, other than those caused by climate change.</w:t>
      </w:r>
    </w:p>
    <w:p w:rsidR="00D17A39" w:rsidRDefault="00D17A39" w:rsidP="00D17A39">
      <w:pPr>
        <w:pStyle w:val="ListParagraph"/>
      </w:pPr>
      <w:r>
        <w:t xml:space="preserve">Example: </w:t>
      </w:r>
    </w:p>
    <w:p w:rsidR="00D17A39" w:rsidRDefault="00D17A39" w:rsidP="00D17A39">
      <w:pPr>
        <w:pStyle w:val="ListParagraph"/>
        <w:numPr>
          <w:ilvl w:val="1"/>
          <w:numId w:val="10"/>
        </w:numPr>
        <w:spacing w:after="200" w:line="276" w:lineRule="auto"/>
      </w:pPr>
      <w:r>
        <w:t xml:space="preserve">Establishment of a ‘community safe house’ for use during disasters, </w:t>
      </w:r>
    </w:p>
    <w:p w:rsidR="00D17A39" w:rsidRDefault="00D17A39" w:rsidP="00D17A39">
      <w:pPr>
        <w:pStyle w:val="ListParagraph"/>
        <w:numPr>
          <w:ilvl w:val="1"/>
          <w:numId w:val="10"/>
        </w:numPr>
        <w:spacing w:after="200" w:line="276" w:lineRule="auto"/>
      </w:pPr>
      <w:r>
        <w:t xml:space="preserve">Preparation and implementation of disaster response and contingency plans. </w:t>
      </w:r>
    </w:p>
    <w:p w:rsidR="00D17A39" w:rsidRPr="00E828C7" w:rsidRDefault="00D17A39" w:rsidP="00D17A39">
      <w:pPr>
        <w:rPr>
          <w:i/>
        </w:rPr>
      </w:pPr>
      <w:r w:rsidRPr="00E828C7">
        <w:rPr>
          <w:i/>
        </w:rPr>
        <w:t>Alignment of Activities with Government Sectors</w:t>
      </w:r>
    </w:p>
    <w:p w:rsidR="00D17A39" w:rsidRDefault="00D17A39" w:rsidP="004E656E">
      <w:r>
        <w:t xml:space="preserve">Activities must align with one or more government sectors. Key sectors are outlined in the National Adaptation </w:t>
      </w:r>
      <w:proofErr w:type="spellStart"/>
      <w:r>
        <w:t>Programme</w:t>
      </w:r>
      <w:proofErr w:type="spellEnd"/>
      <w:r>
        <w:t xml:space="preserve"> of Action (NAPA), Disaster Risk Reduction and Disaster Management National Action Plan (NAP) and the National Climate Change &amp; Disaster Risk Reduction Policy. </w:t>
      </w:r>
    </w:p>
    <w:p w:rsidR="00D17A39" w:rsidRDefault="00D17A39" w:rsidP="004E656E">
      <w:r>
        <w:t>Climate change and disaster risk activities in Vanuatu can generally be grouped into the following areas that align with existing government sectors.  Examples include:</w:t>
      </w:r>
    </w:p>
    <w:tbl>
      <w:tblPr>
        <w:tblStyle w:val="TableGrid"/>
        <w:tblW w:w="0" w:type="auto"/>
        <w:tblInd w:w="1440" w:type="dxa"/>
        <w:tblLook w:val="04A0" w:firstRow="1" w:lastRow="0" w:firstColumn="1" w:lastColumn="0" w:noHBand="0" w:noVBand="1"/>
      </w:tblPr>
      <w:tblGrid>
        <w:gridCol w:w="4060"/>
        <w:gridCol w:w="4076"/>
      </w:tblGrid>
      <w:tr w:rsidR="00D17A39" w:rsidRPr="00E828C7" w:rsidTr="001644CF">
        <w:tc>
          <w:tcPr>
            <w:tcW w:w="4060" w:type="dxa"/>
            <w:shd w:val="clear" w:color="auto" w:fill="E7E6E6" w:themeFill="background2"/>
          </w:tcPr>
          <w:p w:rsidR="00D17A39" w:rsidRPr="00E828C7" w:rsidRDefault="00D17A39" w:rsidP="001644CF">
            <w:pPr>
              <w:rPr>
                <w:b/>
                <w:lang w:val="en-NZ"/>
              </w:rPr>
            </w:pPr>
            <w:r w:rsidRPr="00E828C7">
              <w:rPr>
                <w:b/>
                <w:lang w:val="en-NZ"/>
              </w:rPr>
              <w:t>Activity</w:t>
            </w:r>
          </w:p>
        </w:tc>
        <w:tc>
          <w:tcPr>
            <w:tcW w:w="4076" w:type="dxa"/>
            <w:shd w:val="clear" w:color="auto" w:fill="E7E6E6" w:themeFill="background2"/>
          </w:tcPr>
          <w:p w:rsidR="00D17A39" w:rsidRPr="00E828C7" w:rsidRDefault="00D17A39" w:rsidP="001644CF">
            <w:pPr>
              <w:rPr>
                <w:b/>
                <w:lang w:val="en-NZ"/>
              </w:rPr>
            </w:pPr>
            <w:r w:rsidRPr="00E828C7">
              <w:rPr>
                <w:b/>
                <w:lang w:val="en-NZ"/>
              </w:rPr>
              <w:t>Government of Vanuatu Department (Sector)</w:t>
            </w:r>
          </w:p>
        </w:tc>
      </w:tr>
      <w:tr w:rsidR="00D17A39" w:rsidRPr="00E828C7" w:rsidTr="001644CF">
        <w:tc>
          <w:tcPr>
            <w:tcW w:w="4060" w:type="dxa"/>
          </w:tcPr>
          <w:p w:rsidR="00D17A39" w:rsidRPr="00E828C7" w:rsidRDefault="00D17A39" w:rsidP="001644CF">
            <w:pPr>
              <w:rPr>
                <w:lang w:val="en-NZ"/>
              </w:rPr>
            </w:pPr>
            <w:r w:rsidRPr="00E828C7">
              <w:rPr>
                <w:lang w:val="en-NZ"/>
              </w:rPr>
              <w:t>Forecasting and monitoring of climate and geo-hazard information, awareness and early warnings.</w:t>
            </w:r>
          </w:p>
        </w:tc>
        <w:tc>
          <w:tcPr>
            <w:tcW w:w="4076" w:type="dxa"/>
          </w:tcPr>
          <w:p w:rsidR="00D17A39" w:rsidRPr="00E828C7" w:rsidRDefault="00D17A39" w:rsidP="001644CF">
            <w:pPr>
              <w:rPr>
                <w:lang w:val="en-NZ"/>
              </w:rPr>
            </w:pPr>
            <w:r w:rsidRPr="00E828C7">
              <w:rPr>
                <w:lang w:val="en-NZ"/>
              </w:rPr>
              <w:t>Vanuatu Meteorological and Geo-Hazards Department (VMGD)</w:t>
            </w:r>
          </w:p>
        </w:tc>
      </w:tr>
      <w:tr w:rsidR="00D17A39" w:rsidRPr="00E828C7" w:rsidTr="001644CF">
        <w:tc>
          <w:tcPr>
            <w:tcW w:w="4060" w:type="dxa"/>
          </w:tcPr>
          <w:p w:rsidR="00D17A39" w:rsidRPr="00E828C7" w:rsidRDefault="00D17A39" w:rsidP="001644CF">
            <w:pPr>
              <w:rPr>
                <w:lang w:val="en-NZ"/>
              </w:rPr>
            </w:pPr>
            <w:r w:rsidRPr="00E828C7">
              <w:rPr>
                <w:lang w:val="en-NZ"/>
              </w:rPr>
              <w:t>Disaster preparedness, response and recovery</w:t>
            </w:r>
          </w:p>
        </w:tc>
        <w:tc>
          <w:tcPr>
            <w:tcW w:w="4076" w:type="dxa"/>
          </w:tcPr>
          <w:p w:rsidR="00D17A39" w:rsidRPr="00E828C7" w:rsidRDefault="00D17A39" w:rsidP="001644CF">
            <w:pPr>
              <w:rPr>
                <w:lang w:val="en-NZ"/>
              </w:rPr>
            </w:pPr>
            <w:r w:rsidRPr="00E828C7">
              <w:rPr>
                <w:lang w:val="en-NZ"/>
              </w:rPr>
              <w:t>National Disaster Management Office (NDMO)</w:t>
            </w:r>
          </w:p>
        </w:tc>
      </w:tr>
      <w:tr w:rsidR="00D17A39" w:rsidRPr="00E828C7" w:rsidTr="001644CF">
        <w:tc>
          <w:tcPr>
            <w:tcW w:w="4060" w:type="dxa"/>
          </w:tcPr>
          <w:p w:rsidR="00D17A39" w:rsidRPr="00E828C7" w:rsidRDefault="00D17A39" w:rsidP="001644CF">
            <w:pPr>
              <w:rPr>
                <w:lang w:val="en-NZ"/>
              </w:rPr>
            </w:pPr>
            <w:r w:rsidRPr="00E828C7">
              <w:rPr>
                <w:lang w:val="en-NZ"/>
              </w:rPr>
              <w:t>Agriculture and food security</w:t>
            </w:r>
          </w:p>
        </w:tc>
        <w:tc>
          <w:tcPr>
            <w:tcW w:w="4076" w:type="dxa"/>
          </w:tcPr>
          <w:p w:rsidR="00D17A39" w:rsidRPr="00E828C7" w:rsidRDefault="00D17A39" w:rsidP="001644CF">
            <w:pPr>
              <w:rPr>
                <w:lang w:val="en-NZ"/>
              </w:rPr>
            </w:pPr>
            <w:r w:rsidRPr="00E828C7">
              <w:rPr>
                <w:lang w:val="en-NZ"/>
              </w:rPr>
              <w:t>Department of Agriculture and Rural Development (DARD)</w:t>
            </w:r>
          </w:p>
        </w:tc>
      </w:tr>
      <w:tr w:rsidR="00D17A39" w:rsidRPr="00E828C7" w:rsidTr="001644CF">
        <w:tc>
          <w:tcPr>
            <w:tcW w:w="4060" w:type="dxa"/>
          </w:tcPr>
          <w:p w:rsidR="00D17A39" w:rsidRPr="00E828C7" w:rsidRDefault="00D17A39" w:rsidP="001644CF">
            <w:pPr>
              <w:rPr>
                <w:lang w:val="en-NZ"/>
              </w:rPr>
            </w:pPr>
            <w:r w:rsidRPr="00E828C7">
              <w:rPr>
                <w:lang w:val="en-NZ"/>
              </w:rPr>
              <w:t>Water management</w:t>
            </w:r>
          </w:p>
        </w:tc>
        <w:tc>
          <w:tcPr>
            <w:tcW w:w="4076" w:type="dxa"/>
          </w:tcPr>
          <w:p w:rsidR="00D17A39" w:rsidRPr="00E828C7" w:rsidRDefault="00D17A39" w:rsidP="001644CF">
            <w:pPr>
              <w:rPr>
                <w:lang w:val="en-NZ"/>
              </w:rPr>
            </w:pPr>
            <w:r w:rsidRPr="00E828C7">
              <w:rPr>
                <w:lang w:val="en-NZ"/>
              </w:rPr>
              <w:t>Department of Geology, Mines and Water Resources (DGMWR)</w:t>
            </w:r>
          </w:p>
        </w:tc>
      </w:tr>
      <w:tr w:rsidR="00D17A39" w:rsidRPr="00E828C7" w:rsidTr="001644CF">
        <w:tc>
          <w:tcPr>
            <w:tcW w:w="4060" w:type="dxa"/>
          </w:tcPr>
          <w:p w:rsidR="00D17A39" w:rsidRPr="00E828C7" w:rsidRDefault="00D17A39" w:rsidP="001644CF">
            <w:pPr>
              <w:rPr>
                <w:lang w:val="en-NZ"/>
              </w:rPr>
            </w:pPr>
            <w:r w:rsidRPr="00E828C7">
              <w:rPr>
                <w:lang w:val="en-NZ"/>
              </w:rPr>
              <w:t>Transport</w:t>
            </w:r>
          </w:p>
        </w:tc>
        <w:tc>
          <w:tcPr>
            <w:tcW w:w="4076" w:type="dxa"/>
          </w:tcPr>
          <w:p w:rsidR="00D17A39" w:rsidRPr="00E828C7" w:rsidRDefault="00D17A39" w:rsidP="001644CF">
            <w:pPr>
              <w:rPr>
                <w:lang w:val="en-NZ"/>
              </w:rPr>
            </w:pPr>
            <w:r w:rsidRPr="00E828C7">
              <w:rPr>
                <w:lang w:val="en-NZ"/>
              </w:rPr>
              <w:t>Public Works Department</w:t>
            </w:r>
          </w:p>
        </w:tc>
      </w:tr>
    </w:tbl>
    <w:p w:rsidR="00D17A39" w:rsidRDefault="00D17A39" w:rsidP="00D17A39"/>
    <w:p w:rsidR="00D17A39" w:rsidRPr="00E828C7" w:rsidRDefault="00D17A39" w:rsidP="00D17A39">
      <w:pPr>
        <w:rPr>
          <w:i/>
        </w:rPr>
      </w:pPr>
      <w:r w:rsidRPr="00E828C7">
        <w:rPr>
          <w:i/>
        </w:rPr>
        <w:t>Alignment with Government of Vanuatu Policies and Plans</w:t>
      </w:r>
    </w:p>
    <w:p w:rsidR="00D17A39" w:rsidRDefault="00D17A39" w:rsidP="004E656E">
      <w:r>
        <w:t xml:space="preserve">This micro project scheme has been set up to help the Government of Vanuatu achieve its strategic development priorities, as set out in the National Sustainable Development Strategy (Priorities and Action Agenda, 2006 – 2015). </w:t>
      </w:r>
    </w:p>
    <w:p w:rsidR="00D17A39" w:rsidRDefault="00D17A39" w:rsidP="00B96EAB">
      <w:r>
        <w:lastRenderedPageBreak/>
        <w:t xml:space="preserve">In particular, micro projects should address the priorities set out in the Priorities and Action Agenda, 2006 – 2015, National Adaptation </w:t>
      </w:r>
      <w:proofErr w:type="spellStart"/>
      <w:r>
        <w:t>Programme</w:t>
      </w:r>
      <w:proofErr w:type="spellEnd"/>
      <w:r>
        <w:t xml:space="preserve"> of Action (NAPA), Disaster Risk Reduction and Disaster Management National Action Plan (NAP), and the National Climate Change &amp; Disaster Risk Reduction Policy.  All micro projects must align with existing Government of Vanuatu policies and plans, provincial and area strategic development plans. For example:</w:t>
      </w:r>
    </w:p>
    <w:p w:rsidR="00D17A39" w:rsidRDefault="00D17A39" w:rsidP="00D17A39">
      <w:r>
        <w:t>•</w:t>
      </w:r>
      <w:r>
        <w:tab/>
        <w:t>‘Planning Long, Acting Short’</w:t>
      </w:r>
    </w:p>
    <w:p w:rsidR="00D17A39" w:rsidRDefault="00D17A39" w:rsidP="00D17A39">
      <w:r>
        <w:t>•</w:t>
      </w:r>
      <w:r>
        <w:tab/>
        <w:t>Ministry Corporate Plans</w:t>
      </w:r>
    </w:p>
    <w:p w:rsidR="00D17A39" w:rsidRDefault="00D17A39" w:rsidP="00D17A39">
      <w:r>
        <w:t>•</w:t>
      </w:r>
      <w:r>
        <w:tab/>
        <w:t>Department Corporate Business Plans</w:t>
      </w:r>
    </w:p>
    <w:p w:rsidR="00D17A39" w:rsidRDefault="00D17A39" w:rsidP="00D17A39">
      <w:r>
        <w:t>•</w:t>
      </w:r>
      <w:r>
        <w:tab/>
        <w:t>Provincial Council Corporate Business Plans</w:t>
      </w:r>
    </w:p>
    <w:p w:rsidR="00D17A39" w:rsidRDefault="00D17A39" w:rsidP="00D17A39">
      <w:r>
        <w:t>•</w:t>
      </w:r>
      <w:r>
        <w:tab/>
        <w:t>Area Council Strategic Development Plans</w:t>
      </w:r>
    </w:p>
    <w:p w:rsidR="00D17A39" w:rsidRDefault="00D17A39" w:rsidP="00D17A39">
      <w:r>
        <w:t>•</w:t>
      </w:r>
      <w:r>
        <w:tab/>
        <w:t>Other relevant government planning documents.</w:t>
      </w:r>
    </w:p>
    <w:p w:rsidR="00D17A39" w:rsidRPr="00E828C7" w:rsidRDefault="00D17A39" w:rsidP="00D17A39">
      <w:pPr>
        <w:rPr>
          <w:i/>
        </w:rPr>
      </w:pPr>
      <w:r w:rsidRPr="00E828C7">
        <w:rPr>
          <w:i/>
        </w:rPr>
        <w:t>What is the maximum level of funding for a micro project?</w:t>
      </w:r>
    </w:p>
    <w:p w:rsidR="00D17A39" w:rsidRDefault="00D17A39" w:rsidP="004E656E">
      <w:r>
        <w:t xml:space="preserve">The maximum level of funding for any one micro project is </w:t>
      </w:r>
      <w:proofErr w:type="spellStart"/>
      <w:r>
        <w:t>Vt</w:t>
      </w:r>
      <w:proofErr w:type="spellEnd"/>
      <w:r>
        <w:t xml:space="preserve"> 5 million. Additional funding could be made available if the initial investment falls significantly under the maximum ceiling, however additional activities must be consistent with priorities identified by the baseline surveys or as per eligibility criteria defined above.</w:t>
      </w:r>
    </w:p>
    <w:p w:rsidR="00D17A39" w:rsidRDefault="00D17A39" w:rsidP="00FF58F6">
      <w:pPr>
        <w:pStyle w:val="Heading2"/>
      </w:pPr>
      <w:bookmarkStart w:id="15" w:name="_Toc483323530"/>
      <w:r>
        <w:t>Project Typologies</w:t>
      </w:r>
      <w:bookmarkEnd w:id="15"/>
    </w:p>
    <w:p w:rsidR="00D17A39" w:rsidRDefault="00D17A39" w:rsidP="008422C0">
      <w:r>
        <w:t>The initial consultations, baseline surveys and needs assessments following Cyclone Pam (from the studies and plans listed above) have identified the most likely typologies that will be funded:</w:t>
      </w:r>
    </w:p>
    <w:p w:rsidR="00D17A39" w:rsidRDefault="00D17A39" w:rsidP="00D17A39">
      <w:pPr>
        <w:pStyle w:val="ListParagraph"/>
        <w:numPr>
          <w:ilvl w:val="0"/>
          <w:numId w:val="11"/>
        </w:numPr>
        <w:spacing w:after="200" w:line="276" w:lineRule="auto"/>
      </w:pPr>
      <w:r>
        <w:t xml:space="preserve">Rainwater catchments – Structures to collect rainwater and tanks to store rainwater.  Tap stands.  </w:t>
      </w:r>
    </w:p>
    <w:p w:rsidR="00D17A39" w:rsidRDefault="00D17A39" w:rsidP="00D17A39">
      <w:pPr>
        <w:pStyle w:val="ListParagraph"/>
        <w:numPr>
          <w:ilvl w:val="0"/>
          <w:numId w:val="11"/>
        </w:numPr>
        <w:spacing w:after="200" w:line="276" w:lineRule="auto"/>
      </w:pPr>
      <w:r>
        <w:t>Gravity fed water supply systems – renovations of damaged schemes, scheme upgrades and extensions new systems.  Water abstractions from streams or springs, gravity fed through pipelines to the villages, and the installation or replacement of water tanks.  Tap stands and pipelines within the village.  This may also include irrigation systems.</w:t>
      </w:r>
    </w:p>
    <w:p w:rsidR="00D17A39" w:rsidRDefault="00D17A39" w:rsidP="00D17A39">
      <w:pPr>
        <w:pStyle w:val="ListParagraph"/>
        <w:numPr>
          <w:ilvl w:val="0"/>
          <w:numId w:val="11"/>
        </w:numPr>
        <w:spacing w:after="200" w:line="276" w:lineRule="auto"/>
      </w:pPr>
      <w:r>
        <w:t>Feeder roads – small sections of existing unsealed tracks renovated with concrete to allow for all weather access to villages.</w:t>
      </w:r>
    </w:p>
    <w:p w:rsidR="00D17A39" w:rsidRDefault="00D17A39" w:rsidP="00D17A39">
      <w:pPr>
        <w:pStyle w:val="ListParagraph"/>
        <w:numPr>
          <w:ilvl w:val="0"/>
          <w:numId w:val="11"/>
        </w:numPr>
        <w:spacing w:after="200" w:line="276" w:lineRule="auto"/>
      </w:pPr>
      <w:r>
        <w:t>Climate-resilient crops and agricultural practices – farming support, including new varieties of crops and different farming techniques.  Irrigation systems may be included.</w:t>
      </w:r>
    </w:p>
    <w:p w:rsidR="004E4E84" w:rsidRPr="00BA3433" w:rsidRDefault="004E4E84" w:rsidP="00FF58F6">
      <w:pPr>
        <w:pStyle w:val="Heading2"/>
      </w:pPr>
      <w:bookmarkStart w:id="16" w:name="_Toc483323531"/>
      <w:bookmarkEnd w:id="13"/>
      <w:r w:rsidRPr="00BA3433">
        <w:t>Project Requirement for Land Acquisition</w:t>
      </w:r>
      <w:bookmarkEnd w:id="16"/>
    </w:p>
    <w:p w:rsidR="004E4E84" w:rsidRDefault="004E4E84" w:rsidP="008422C0">
      <w:r w:rsidRPr="0016687E">
        <w:t xml:space="preserve">Table 1 below provides an overview of the activities proposed under Components 1 – </w:t>
      </w:r>
      <w:r w:rsidR="00EA77D5">
        <w:t>2</w:t>
      </w:r>
      <w:r w:rsidRPr="0016687E">
        <w:t xml:space="preserve"> of the </w:t>
      </w:r>
      <w:r w:rsidR="00EA77D5">
        <w:t xml:space="preserve">restructured </w:t>
      </w:r>
      <w:r w:rsidRPr="0016687E">
        <w:t>Pro</w:t>
      </w:r>
      <w:r w:rsidR="005C30E9">
        <w:t xml:space="preserve">ject and </w:t>
      </w:r>
      <w:r w:rsidRPr="0016687E">
        <w:t xml:space="preserve">whether land acquisition (voluntary or involuntary) would be a </w:t>
      </w:r>
      <w:r w:rsidR="00EA77D5">
        <w:t xml:space="preserve">potential </w:t>
      </w:r>
      <w:r w:rsidRPr="0016687E">
        <w:t>requirem</w:t>
      </w:r>
      <w:r w:rsidR="005C30E9">
        <w:t xml:space="preserve">ent. Resettlement of people and </w:t>
      </w:r>
      <w:r w:rsidRPr="0016687E">
        <w:t>their dwelling structures is not expected for this project and is not considered.</w:t>
      </w:r>
    </w:p>
    <w:p w:rsidR="004E4E84"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0"/>
        </w:rPr>
      </w:pPr>
      <w:r w:rsidRPr="005C30E9">
        <w:rPr>
          <w:rFonts w:eastAsia="Times New Roman" w:cs="Arial"/>
          <w:b/>
          <w:szCs w:val="20"/>
        </w:rPr>
        <w:t>Table 1     Project Activities and Requirement for Land Acquisition</w:t>
      </w:r>
    </w:p>
    <w:tbl>
      <w:tblPr>
        <w:tblStyle w:val="TableGrid"/>
        <w:tblW w:w="0" w:type="auto"/>
        <w:tblLook w:val="04A0" w:firstRow="1" w:lastRow="0" w:firstColumn="1" w:lastColumn="0" w:noHBand="0" w:noVBand="1"/>
      </w:tblPr>
      <w:tblGrid>
        <w:gridCol w:w="6925"/>
        <w:gridCol w:w="2425"/>
      </w:tblGrid>
      <w:tr w:rsidR="00BE74E6" w:rsidTr="008422C0">
        <w:trPr>
          <w:trHeight w:val="305"/>
          <w:tblHeader/>
        </w:trPr>
        <w:tc>
          <w:tcPr>
            <w:tcW w:w="6925" w:type="dxa"/>
            <w:shd w:val="clear" w:color="auto" w:fill="FFFF00"/>
          </w:tcPr>
          <w:p w:rsidR="00BE74E6" w:rsidRDefault="00BE74E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Pr>
                <w:rFonts w:eastAsia="Times New Roman" w:cs="Arial"/>
                <w:b/>
                <w:szCs w:val="20"/>
              </w:rPr>
              <w:t>Project Activity</w:t>
            </w:r>
          </w:p>
        </w:tc>
        <w:tc>
          <w:tcPr>
            <w:tcW w:w="2425" w:type="dxa"/>
            <w:shd w:val="clear" w:color="auto" w:fill="FFFF00"/>
          </w:tcPr>
          <w:p w:rsidR="00BE74E6" w:rsidRDefault="00BE74E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Pr>
                <w:rFonts w:eastAsia="Times New Roman" w:cs="Arial"/>
                <w:b/>
                <w:szCs w:val="20"/>
              </w:rPr>
              <w:t>Land Acquisition</w:t>
            </w:r>
          </w:p>
        </w:tc>
      </w:tr>
      <w:tr w:rsidR="00BE74E6" w:rsidTr="00EA77D5">
        <w:tc>
          <w:tcPr>
            <w:tcW w:w="9350" w:type="dxa"/>
            <w:gridSpan w:val="2"/>
            <w:shd w:val="clear" w:color="auto" w:fill="FFFF00"/>
          </w:tcPr>
          <w:p w:rsidR="00BE74E6" w:rsidRDefault="00BE74E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Pr>
                <w:rFonts w:eastAsia="Times New Roman" w:cs="Arial"/>
                <w:b/>
                <w:szCs w:val="20"/>
              </w:rPr>
              <w:t>Project Component 1 – Institutional Strengthening for Climate Change Adaptation and Disaster Risk Management</w:t>
            </w:r>
          </w:p>
        </w:tc>
      </w:tr>
      <w:tr w:rsidR="00946168" w:rsidTr="00BE74E6">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To establish a fully equipped provincial disaster coordination centers and provincial disaster risk management and climate change adaptation.</w:t>
            </w:r>
          </w:p>
        </w:tc>
        <w:tc>
          <w:tcPr>
            <w:tcW w:w="2425" w:type="dxa"/>
          </w:tcPr>
          <w:p w:rsidR="00946168" w:rsidRPr="00EA77D5" w:rsidRDefault="00EA77D5" w:rsidP="0028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Government leased land will be prioritized (</w:t>
            </w:r>
            <w:r w:rsidR="00280C1F">
              <w:rPr>
                <w:rFonts w:eastAsia="Times New Roman" w:cs="Arial"/>
                <w:szCs w:val="20"/>
              </w:rPr>
              <w:t xml:space="preserve">and </w:t>
            </w:r>
            <w:r>
              <w:rPr>
                <w:rFonts w:eastAsia="Times New Roman" w:cs="Arial"/>
                <w:szCs w:val="20"/>
              </w:rPr>
              <w:t>proof of lease is required)</w:t>
            </w:r>
          </w:p>
        </w:tc>
      </w:tr>
      <w:tr w:rsidR="00946168" w:rsidTr="00EA77D5">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Strengthen Early Warning Systems by establishing real-time data communication network linking the existing volcano, seismic and weather observing stations with the national data and warning center.</w:t>
            </w:r>
          </w:p>
        </w:tc>
        <w:tc>
          <w:tcPr>
            <w:tcW w:w="2425" w:type="dxa"/>
          </w:tcPr>
          <w:p w:rsidR="00946168" w:rsidRPr="00EA77D5" w:rsidRDefault="00EA77D5" w:rsidP="00EA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Voluntary land use approval required for monitoring instruments.</w:t>
            </w:r>
          </w:p>
        </w:tc>
      </w:tr>
      <w:tr w:rsidR="0073712A" w:rsidTr="00EA77D5">
        <w:tc>
          <w:tcPr>
            <w:tcW w:w="9350" w:type="dxa"/>
            <w:gridSpan w:val="2"/>
            <w:shd w:val="clear" w:color="auto" w:fill="FFFF00"/>
          </w:tcPr>
          <w:p w:rsidR="0073712A" w:rsidRDefault="0073712A"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Pr>
                <w:rFonts w:eastAsia="Times New Roman" w:cs="Arial"/>
                <w:b/>
                <w:szCs w:val="20"/>
              </w:rPr>
              <w:t xml:space="preserve">Project Component 2 – Increasing Community Resilience on Active Volcanic Islands and in Coastal Areas </w:t>
            </w:r>
          </w:p>
        </w:tc>
      </w:tr>
      <w:tr w:rsidR="00946168" w:rsidTr="00BE74E6">
        <w:tc>
          <w:tcPr>
            <w:tcW w:w="6925" w:type="dxa"/>
          </w:tcPr>
          <w:p w:rsidR="00946168" w:rsidRPr="00EA77D5" w:rsidRDefault="00946168" w:rsidP="00946168">
            <w:pPr>
              <w:autoSpaceDE w:val="0"/>
              <w:autoSpaceDN w:val="0"/>
              <w:adjustRightInd w:val="0"/>
              <w:rPr>
                <w:rFonts w:cs="Arial"/>
                <w:bCs/>
                <w:szCs w:val="20"/>
                <w:lang w:bidi="hi-IN"/>
              </w:rPr>
            </w:pPr>
            <w:r w:rsidRPr="00EA77D5">
              <w:rPr>
                <w:rFonts w:cs="Arial"/>
                <w:bCs/>
                <w:szCs w:val="20"/>
                <w:lang w:bidi="hi-IN"/>
              </w:rPr>
              <w:t>Collection of root crop cultivars from both Vanuatu and internationally.</w:t>
            </w:r>
          </w:p>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2425" w:type="dxa"/>
          </w:tcPr>
          <w:p w:rsidR="00946168"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667853">
              <w:rPr>
                <w:rFonts w:eastAsia="Times New Roman" w:cs="Arial"/>
                <w:szCs w:val="20"/>
              </w:rPr>
              <w:t>Not applicable</w:t>
            </w:r>
          </w:p>
        </w:tc>
      </w:tr>
      <w:tr w:rsidR="00946168" w:rsidTr="00BE74E6">
        <w:tc>
          <w:tcPr>
            <w:tcW w:w="6925" w:type="dxa"/>
          </w:tcPr>
          <w:p w:rsidR="00946168" w:rsidRPr="00EA77D5" w:rsidRDefault="00946168" w:rsidP="00EA77D5">
            <w:pPr>
              <w:autoSpaceDE w:val="0"/>
              <w:autoSpaceDN w:val="0"/>
              <w:adjustRightInd w:val="0"/>
              <w:rPr>
                <w:rFonts w:cs="Arial"/>
                <w:bCs/>
                <w:szCs w:val="20"/>
                <w:lang w:bidi="hi-IN"/>
              </w:rPr>
            </w:pPr>
            <w:r w:rsidRPr="00EA77D5">
              <w:rPr>
                <w:rFonts w:cs="Arial"/>
                <w:bCs/>
                <w:szCs w:val="20"/>
                <w:lang w:bidi="hi-IN"/>
              </w:rPr>
              <w:t>Screen cultivars for resistance to pests, diseases and climate change impacts.</w:t>
            </w:r>
          </w:p>
        </w:tc>
        <w:tc>
          <w:tcPr>
            <w:tcW w:w="2425" w:type="dxa"/>
          </w:tcPr>
          <w:p w:rsidR="00946168"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667853">
              <w:rPr>
                <w:rFonts w:eastAsia="Times New Roman" w:cs="Arial"/>
                <w:szCs w:val="20"/>
              </w:rPr>
              <w:t>Not applicable</w:t>
            </w:r>
          </w:p>
        </w:tc>
      </w:tr>
      <w:tr w:rsidR="00946168" w:rsidTr="00BE74E6">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EA77D5">
              <w:rPr>
                <w:rFonts w:cs="Arial"/>
                <w:bCs/>
                <w:szCs w:val="20"/>
                <w:lang w:bidi="hi-IN"/>
              </w:rPr>
              <w:t xml:space="preserve">Assessment of cultivar </w:t>
            </w:r>
            <w:r w:rsidR="00EA77D5">
              <w:rPr>
                <w:rFonts w:cs="Arial"/>
                <w:bCs/>
                <w:szCs w:val="20"/>
                <w:lang w:bidi="hi-IN"/>
              </w:rPr>
              <w:t>p</w:t>
            </w:r>
            <w:r w:rsidRPr="00EA77D5">
              <w:rPr>
                <w:rFonts w:cs="Arial"/>
                <w:bCs/>
                <w:szCs w:val="20"/>
                <w:lang w:bidi="hi-IN"/>
              </w:rPr>
              <w:t>erformance.</w:t>
            </w:r>
          </w:p>
        </w:tc>
        <w:tc>
          <w:tcPr>
            <w:tcW w:w="2425" w:type="dxa"/>
          </w:tcPr>
          <w:p w:rsidR="00946168"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667853">
              <w:rPr>
                <w:rFonts w:eastAsia="Times New Roman" w:cs="Arial"/>
                <w:szCs w:val="20"/>
              </w:rPr>
              <w:t>Not applicable</w:t>
            </w:r>
          </w:p>
        </w:tc>
      </w:tr>
      <w:tr w:rsidR="00E7012B" w:rsidTr="00BE74E6">
        <w:tc>
          <w:tcPr>
            <w:tcW w:w="6925" w:type="dxa"/>
          </w:tcPr>
          <w:p w:rsidR="00E7012B" w:rsidRPr="00EA77D5" w:rsidRDefault="00E7012B"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EA77D5">
              <w:rPr>
                <w:rFonts w:cs="Arial"/>
                <w:bCs/>
                <w:szCs w:val="20"/>
                <w:lang w:bidi="hi-IN"/>
              </w:rPr>
              <w:t xml:space="preserve">Establish on-farm demonstration sites for climate resistant crops </w:t>
            </w:r>
          </w:p>
        </w:tc>
        <w:tc>
          <w:tcPr>
            <w:tcW w:w="2425" w:type="dxa"/>
          </w:tcPr>
          <w:p w:rsidR="00E7012B" w:rsidRPr="00EA77D5" w:rsidRDefault="00946168"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Voluntary land </w:t>
            </w:r>
            <w:r w:rsidR="00EA77D5">
              <w:rPr>
                <w:rFonts w:eastAsia="Times New Roman" w:cs="Arial"/>
                <w:szCs w:val="20"/>
              </w:rPr>
              <w:t xml:space="preserve">access </w:t>
            </w:r>
            <w:r w:rsidR="004E656E">
              <w:rPr>
                <w:rFonts w:eastAsia="Times New Roman" w:cs="Arial"/>
                <w:szCs w:val="20"/>
              </w:rPr>
              <w:t>likely</w:t>
            </w:r>
          </w:p>
        </w:tc>
      </w:tr>
      <w:tr w:rsidR="00E7012B" w:rsidTr="00BE74E6">
        <w:tc>
          <w:tcPr>
            <w:tcW w:w="6925" w:type="dxa"/>
          </w:tcPr>
          <w:p w:rsidR="00E7012B" w:rsidRPr="00EA77D5" w:rsidRDefault="00E7012B"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EA77D5">
              <w:rPr>
                <w:rFonts w:cs="Arial"/>
                <w:szCs w:val="20"/>
              </w:rPr>
              <w:t xml:space="preserve">Establish the plant distribution </w:t>
            </w:r>
            <w:r w:rsidRPr="00E7012B">
              <w:rPr>
                <w:rFonts w:cs="Arial"/>
                <w:szCs w:val="20"/>
              </w:rPr>
              <w:t>centers</w:t>
            </w:r>
            <w:r w:rsidRPr="00EA77D5">
              <w:rPr>
                <w:rFonts w:cs="Arial"/>
                <w:szCs w:val="20"/>
              </w:rPr>
              <w:t xml:space="preserve"> for the dissemination of climate-resistant crops, such as the agricultural college, churches, high schools and other suitable locations</w:t>
            </w:r>
            <w:r>
              <w:rPr>
                <w:rFonts w:cs="Arial"/>
                <w:szCs w:val="20"/>
              </w:rPr>
              <w:t>.</w:t>
            </w:r>
          </w:p>
        </w:tc>
        <w:tc>
          <w:tcPr>
            <w:tcW w:w="2425" w:type="dxa"/>
          </w:tcPr>
          <w:p w:rsidR="00E7012B" w:rsidRPr="00EA77D5" w:rsidRDefault="00EA77D5"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 Voluntary land access </w:t>
            </w:r>
            <w:r w:rsidR="004E656E">
              <w:rPr>
                <w:rFonts w:eastAsia="Times New Roman" w:cs="Arial"/>
                <w:szCs w:val="20"/>
              </w:rPr>
              <w:t>likely</w:t>
            </w:r>
          </w:p>
        </w:tc>
      </w:tr>
      <w:tr w:rsidR="00E7012B" w:rsidTr="00BE74E6">
        <w:tc>
          <w:tcPr>
            <w:tcW w:w="6925" w:type="dxa"/>
          </w:tcPr>
          <w:p w:rsidR="00E7012B" w:rsidRPr="00EA77D5" w:rsidRDefault="00E7012B"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EA77D5">
              <w:rPr>
                <w:rFonts w:cs="Arial"/>
                <w:szCs w:val="20"/>
              </w:rPr>
              <w:t>Develop and roll out a farmer training to ensure the success of the dissemination of climate resistant crops</w:t>
            </w:r>
          </w:p>
        </w:tc>
        <w:tc>
          <w:tcPr>
            <w:tcW w:w="2425" w:type="dxa"/>
          </w:tcPr>
          <w:p w:rsidR="00E7012B" w:rsidRPr="00EA77D5" w:rsidRDefault="00946168"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Not applicable</w:t>
            </w:r>
          </w:p>
        </w:tc>
      </w:tr>
      <w:tr w:rsidR="00E7012B" w:rsidTr="00BE74E6">
        <w:tc>
          <w:tcPr>
            <w:tcW w:w="6925" w:type="dxa"/>
          </w:tcPr>
          <w:p w:rsidR="00E7012B" w:rsidRPr="00E7012B" w:rsidRDefault="00E7012B"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EA77D5">
              <w:rPr>
                <w:rFonts w:cs="Arial"/>
                <w:szCs w:val="20"/>
              </w:rPr>
              <w:t>Distribution of cultivar planting material to key farmers</w:t>
            </w:r>
          </w:p>
        </w:tc>
        <w:tc>
          <w:tcPr>
            <w:tcW w:w="2425" w:type="dxa"/>
          </w:tcPr>
          <w:p w:rsidR="00E7012B" w:rsidRPr="00EA77D5" w:rsidRDefault="00946168" w:rsidP="00E7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Not applicable</w:t>
            </w:r>
          </w:p>
        </w:tc>
      </w:tr>
      <w:tr w:rsidR="00946168" w:rsidTr="00BE74E6">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Installation of small-scale rural water supply systems – through tanks and structures for rainwater harvesting.</w:t>
            </w:r>
          </w:p>
        </w:tc>
        <w:tc>
          <w:tcPr>
            <w:tcW w:w="2425" w:type="dxa"/>
          </w:tcPr>
          <w:p w:rsidR="00946168" w:rsidRPr="00EA77D5" w:rsidRDefault="00946168"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804CA">
              <w:rPr>
                <w:rFonts w:eastAsia="Times New Roman" w:cs="Arial"/>
                <w:szCs w:val="20"/>
              </w:rPr>
              <w:t xml:space="preserve">Voluntary land </w:t>
            </w:r>
            <w:r w:rsidR="00EA77D5">
              <w:rPr>
                <w:rFonts w:eastAsia="Times New Roman" w:cs="Arial"/>
                <w:szCs w:val="20"/>
              </w:rPr>
              <w:t>access</w:t>
            </w:r>
            <w:r w:rsidR="00EA77D5" w:rsidRPr="001804CA">
              <w:rPr>
                <w:rFonts w:eastAsia="Times New Roman" w:cs="Arial"/>
                <w:szCs w:val="20"/>
              </w:rPr>
              <w:t xml:space="preserve"> </w:t>
            </w:r>
            <w:r w:rsidR="004E656E">
              <w:rPr>
                <w:rFonts w:eastAsia="Times New Roman" w:cs="Arial"/>
                <w:szCs w:val="20"/>
              </w:rPr>
              <w:t>likely</w:t>
            </w:r>
          </w:p>
        </w:tc>
      </w:tr>
      <w:tr w:rsidR="00946168" w:rsidTr="00BE74E6">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Reconstruction and rehabilitation work on existing gravity water fed systems through small pumping systems for groundwater.</w:t>
            </w:r>
          </w:p>
        </w:tc>
        <w:tc>
          <w:tcPr>
            <w:tcW w:w="2425" w:type="dxa"/>
          </w:tcPr>
          <w:p w:rsidR="00946168" w:rsidRPr="00EA77D5" w:rsidRDefault="00946168"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804CA">
              <w:rPr>
                <w:rFonts w:eastAsia="Times New Roman" w:cs="Arial"/>
                <w:szCs w:val="20"/>
              </w:rPr>
              <w:t xml:space="preserve">Voluntary land </w:t>
            </w:r>
            <w:r w:rsidR="00EA77D5">
              <w:rPr>
                <w:rFonts w:eastAsia="Times New Roman" w:cs="Arial"/>
                <w:szCs w:val="20"/>
              </w:rPr>
              <w:t>access</w:t>
            </w:r>
            <w:r w:rsidR="00EA77D5" w:rsidRPr="001804CA">
              <w:rPr>
                <w:rFonts w:eastAsia="Times New Roman" w:cs="Arial"/>
                <w:szCs w:val="20"/>
              </w:rPr>
              <w:t xml:space="preserve"> </w:t>
            </w:r>
            <w:r w:rsidR="004E656E">
              <w:rPr>
                <w:rFonts w:eastAsia="Times New Roman" w:cs="Arial"/>
                <w:szCs w:val="20"/>
              </w:rPr>
              <w:t>likely</w:t>
            </w:r>
          </w:p>
        </w:tc>
      </w:tr>
      <w:tr w:rsidR="00946168" w:rsidTr="00BE74E6">
        <w:tc>
          <w:tcPr>
            <w:tcW w:w="6925" w:type="dxa"/>
          </w:tcPr>
          <w:p w:rsidR="00946168" w:rsidRPr="00EA77D5" w:rsidRDefault="00946168"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Install the rural water supply system in the priority communities through stream diversions.</w:t>
            </w:r>
          </w:p>
        </w:tc>
        <w:tc>
          <w:tcPr>
            <w:tcW w:w="2425" w:type="dxa"/>
          </w:tcPr>
          <w:p w:rsidR="00946168" w:rsidRPr="00EA77D5" w:rsidRDefault="00946168"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804CA">
              <w:rPr>
                <w:rFonts w:eastAsia="Times New Roman" w:cs="Arial"/>
                <w:szCs w:val="20"/>
              </w:rPr>
              <w:t xml:space="preserve">Voluntary land </w:t>
            </w:r>
            <w:r w:rsidR="00EA77D5">
              <w:rPr>
                <w:rFonts w:eastAsia="Times New Roman" w:cs="Arial"/>
                <w:szCs w:val="20"/>
              </w:rPr>
              <w:t>access</w:t>
            </w:r>
            <w:r w:rsidR="00EA77D5" w:rsidRPr="001804CA">
              <w:rPr>
                <w:rFonts w:eastAsia="Times New Roman" w:cs="Arial"/>
                <w:szCs w:val="20"/>
              </w:rPr>
              <w:t xml:space="preserve"> </w:t>
            </w:r>
            <w:r w:rsidR="004E656E">
              <w:rPr>
                <w:rFonts w:eastAsia="Times New Roman" w:cs="Arial"/>
                <w:szCs w:val="20"/>
              </w:rPr>
              <w:t>likely</w:t>
            </w:r>
          </w:p>
        </w:tc>
      </w:tr>
      <w:tr w:rsidR="00EA77D5" w:rsidTr="00BE74E6">
        <w:tc>
          <w:tcPr>
            <w:tcW w:w="6925" w:type="dxa"/>
          </w:tcPr>
          <w:p w:rsidR="00EA77D5" w:rsidRDefault="00EA77D5" w:rsidP="0094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Sealing of feeder roads with concrete, and any other minor construction / infrastructure improvements.</w:t>
            </w:r>
          </w:p>
        </w:tc>
        <w:tc>
          <w:tcPr>
            <w:tcW w:w="2425" w:type="dxa"/>
          </w:tcPr>
          <w:p w:rsidR="00EA77D5" w:rsidRPr="001804CA" w:rsidRDefault="00EA77D5" w:rsidP="004E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804CA">
              <w:rPr>
                <w:rFonts w:eastAsia="Times New Roman" w:cs="Arial"/>
                <w:szCs w:val="20"/>
              </w:rPr>
              <w:t xml:space="preserve">Voluntary land </w:t>
            </w:r>
            <w:r>
              <w:rPr>
                <w:rFonts w:eastAsia="Times New Roman" w:cs="Arial"/>
                <w:szCs w:val="20"/>
              </w:rPr>
              <w:t>access</w:t>
            </w:r>
            <w:r w:rsidRPr="001804CA">
              <w:rPr>
                <w:rFonts w:eastAsia="Times New Roman" w:cs="Arial"/>
                <w:szCs w:val="20"/>
              </w:rPr>
              <w:t xml:space="preserve"> </w:t>
            </w:r>
            <w:r w:rsidR="004E656E">
              <w:rPr>
                <w:rFonts w:eastAsia="Times New Roman" w:cs="Arial"/>
                <w:szCs w:val="20"/>
              </w:rPr>
              <w:t>likely</w:t>
            </w:r>
          </w:p>
        </w:tc>
      </w:tr>
    </w:tbl>
    <w:p w:rsidR="00BE74E6" w:rsidRPr="005C30E9" w:rsidRDefault="00BE74E6" w:rsidP="00B96EAB"/>
    <w:p w:rsidR="004E4E84" w:rsidRPr="0016687E" w:rsidRDefault="004E4E84" w:rsidP="008422C0">
      <w:r w:rsidRPr="0016687E">
        <w:t xml:space="preserve">Overall, many of the project activities under components 1 – </w:t>
      </w:r>
      <w:r w:rsidR="00EA77D5">
        <w:t>2</w:t>
      </w:r>
      <w:r w:rsidRPr="0016687E">
        <w:t xml:space="preserve"> either take place on</w:t>
      </w:r>
      <w:r w:rsidR="005C30E9">
        <w:t xml:space="preserve"> </w:t>
      </w:r>
      <w:r w:rsidR="00EA77D5">
        <w:t xml:space="preserve">beneficiary </w:t>
      </w:r>
      <w:r w:rsidR="005C30E9">
        <w:t>land</w:t>
      </w:r>
      <w:r w:rsidR="00EA77D5">
        <w:t xml:space="preserve"> (Custom) or government leased land</w:t>
      </w:r>
      <w:r w:rsidR="005C30E9">
        <w:t xml:space="preserve"> or do not </w:t>
      </w:r>
      <w:r w:rsidRPr="0016687E">
        <w:t xml:space="preserve">require land appropriation. </w:t>
      </w:r>
      <w:r w:rsidR="00EA77D5">
        <w:t>Communities</w:t>
      </w:r>
      <w:r w:rsidR="00EA77D5" w:rsidRPr="0016687E">
        <w:t xml:space="preserve"> </w:t>
      </w:r>
      <w:r w:rsidRPr="0016687E">
        <w:t>and individual households may choose to dona</w:t>
      </w:r>
      <w:r w:rsidR="005C30E9">
        <w:t xml:space="preserve">te land for the purposes of the </w:t>
      </w:r>
      <w:r w:rsidRPr="0016687E">
        <w:t>project (for example to establish an on-site farm demonstration site) and for this re</w:t>
      </w:r>
      <w:r w:rsidR="005C30E9">
        <w:t xml:space="preserve">ason this </w:t>
      </w:r>
      <w:r w:rsidR="0048114A">
        <w:t>RP</w:t>
      </w:r>
      <w:r w:rsidR="005C30E9">
        <w:t xml:space="preserve">F includes a set of </w:t>
      </w:r>
      <w:r w:rsidRPr="0016687E">
        <w:t>criteria that ensures land donation is voluntary and accessible by project benefi</w:t>
      </w:r>
      <w:r w:rsidR="005C30E9">
        <w:t xml:space="preserve">ciaries for the duration of the </w:t>
      </w:r>
      <w:r w:rsidRPr="0016687E">
        <w:t>project. In the unlikely event that other modes of acquisition ar</w:t>
      </w:r>
      <w:bookmarkStart w:id="17" w:name="_GoBack"/>
      <w:bookmarkEnd w:id="17"/>
      <w:r w:rsidRPr="0016687E">
        <w:t xml:space="preserve">e required – of </w:t>
      </w:r>
      <w:r w:rsidR="005C30E9">
        <w:t xml:space="preserve">land, structures or assets (for </w:t>
      </w:r>
      <w:r w:rsidRPr="0016687E">
        <w:t xml:space="preserve">example </w:t>
      </w:r>
      <w:r w:rsidR="00EA77D5">
        <w:t xml:space="preserve">Disaster </w:t>
      </w:r>
      <w:r w:rsidR="000B675E">
        <w:t>Coordination Centers</w:t>
      </w:r>
      <w:r w:rsidRPr="0016687E">
        <w:t xml:space="preserve">) </w:t>
      </w:r>
      <w:r w:rsidR="002A2C61">
        <w:t xml:space="preserve">- </w:t>
      </w:r>
      <w:r w:rsidRPr="0016687E">
        <w:t xml:space="preserve">the </w:t>
      </w:r>
      <w:r w:rsidR="0048114A">
        <w:t>RPF</w:t>
      </w:r>
      <w:r w:rsidR="0048114A" w:rsidRPr="0016687E">
        <w:t xml:space="preserve"> </w:t>
      </w:r>
      <w:r w:rsidRPr="0016687E">
        <w:t>als</w:t>
      </w:r>
      <w:r w:rsidR="005C30E9">
        <w:t xml:space="preserve">o includes </w:t>
      </w:r>
      <w:r w:rsidRPr="0016687E">
        <w:t>guidelines for involuntary land acquisition</w:t>
      </w:r>
      <w:r w:rsidR="000B675E">
        <w:t xml:space="preserve"> if necessary</w:t>
      </w:r>
      <w:r w:rsidRPr="0016687E">
        <w:t xml:space="preserve">. </w:t>
      </w:r>
      <w:r w:rsidR="000B675E">
        <w:t xml:space="preserve">Involuntary land acquisition will be avoided and it is unlikely that the RPF will be used for this purpose. </w:t>
      </w:r>
      <w:r w:rsidRPr="0016687E">
        <w:t>This Framework has been prepared in</w:t>
      </w:r>
      <w:r w:rsidR="005C30E9">
        <w:t xml:space="preserve"> accordance with the provisions </w:t>
      </w:r>
      <w:r w:rsidRPr="0016687E">
        <w:t>set out by WB OP4.12 and the laws of Vanuatu.</w:t>
      </w:r>
    </w:p>
    <w:p w:rsidR="004E4E84" w:rsidRPr="00BA3433" w:rsidRDefault="004E4E84" w:rsidP="008422C0">
      <w:pPr>
        <w:pStyle w:val="Heading2"/>
      </w:pPr>
      <w:bookmarkStart w:id="18" w:name="_Toc483323532"/>
      <w:r w:rsidRPr="00BA3433">
        <w:t>Institutional and Implementation Arrangements</w:t>
      </w:r>
      <w:bookmarkEnd w:id="18"/>
    </w:p>
    <w:p w:rsidR="0059501D" w:rsidRPr="004E656E" w:rsidRDefault="004E4E84" w:rsidP="008422C0">
      <w:pPr>
        <w:rPr>
          <w:color w:val="000000"/>
        </w:rPr>
      </w:pPr>
      <w:r w:rsidRPr="004E656E">
        <w:t xml:space="preserve">Practical institutional arrangements for implementation of the </w:t>
      </w:r>
      <w:r w:rsidR="00765E9B" w:rsidRPr="004E656E">
        <w:t>RPF</w:t>
      </w:r>
      <w:r w:rsidRPr="004E656E">
        <w:t xml:space="preserve"> will be very imp</w:t>
      </w:r>
      <w:r w:rsidR="005C30E9" w:rsidRPr="004E656E">
        <w:t xml:space="preserve">ortant given the cross-sectoral </w:t>
      </w:r>
      <w:r w:rsidRPr="004E656E">
        <w:t>nature of the activities involved. This will require close inter-agency coord</w:t>
      </w:r>
      <w:r w:rsidR="005C30E9" w:rsidRPr="004E656E">
        <w:t xml:space="preserve">ination and collaboration among </w:t>
      </w:r>
      <w:r w:rsidRPr="004E656E">
        <w:t xml:space="preserve">stakeholders. </w:t>
      </w:r>
      <w:r w:rsidR="0059501D" w:rsidRPr="004E656E">
        <w:rPr>
          <w:color w:val="000000"/>
        </w:rPr>
        <w:t>Sub-project screening by the VMGD PMU will identify whether the land requirements can be managed through voluntary lease or donation, or whether involuntary resettlement is required.</w:t>
      </w:r>
    </w:p>
    <w:p w:rsidR="0059501D" w:rsidRPr="004E656E" w:rsidRDefault="0059501D" w:rsidP="008422C0">
      <w:r w:rsidRPr="004E656E">
        <w:t>For voluntary leases</w:t>
      </w:r>
      <w:r w:rsidR="002A2C61">
        <w:t>, Government land leases</w:t>
      </w:r>
      <w:r w:rsidRPr="004E656E">
        <w:t xml:space="preserve"> or land donations for water pipes, roads, new buildings and building renovations etc., the VMGD PMU will manage the land negotiations.</w:t>
      </w:r>
      <w:r w:rsidR="008422C0">
        <w:t xml:space="preserve">  </w:t>
      </w:r>
    </w:p>
    <w:p w:rsidR="0059501D" w:rsidRPr="004E656E" w:rsidRDefault="0059501D" w:rsidP="008422C0">
      <w:r w:rsidRPr="004E656E">
        <w:t xml:space="preserve">For involuntary resettlement the VMGD PMU will manage the preparation of the Abbreviated Resettlement Action Plan, with the assistance of the Lands Department in the Ministry of Lands and </w:t>
      </w:r>
      <w:r w:rsidRPr="004E656E">
        <w:lastRenderedPageBreak/>
        <w:t>Natural Resources.  Consultants may be required to fill capacity or resource limitations in the PMU or Lands Dept.</w:t>
      </w:r>
    </w:p>
    <w:p w:rsidR="0059501D" w:rsidRPr="004E656E" w:rsidRDefault="0059501D" w:rsidP="008422C0">
      <w:r w:rsidRPr="004E656E">
        <w:t>The Lands Department will assist the PMU to undertake the census of affected people, valuation of affected assets, handling of compensation and expropriation of land.  The VMGD PMU will manage grievances.</w:t>
      </w:r>
    </w:p>
    <w:p w:rsidR="004E4E84" w:rsidRPr="00BA3433" w:rsidRDefault="004E4E84" w:rsidP="00FF58F6">
      <w:pPr>
        <w:pStyle w:val="Heading1"/>
      </w:pPr>
      <w:bookmarkStart w:id="19" w:name="_Toc483323533"/>
      <w:r w:rsidRPr="00BA3433">
        <w:lastRenderedPageBreak/>
        <w:t>Land in Vanuatu</w:t>
      </w:r>
      <w:bookmarkEnd w:id="19"/>
    </w:p>
    <w:p w:rsidR="004E4E84" w:rsidRPr="00BA3433" w:rsidRDefault="004E4E84" w:rsidP="000B675E">
      <w:pPr>
        <w:pStyle w:val="Heading2"/>
      </w:pPr>
      <w:bookmarkStart w:id="20" w:name="_Toc483323534"/>
      <w:r w:rsidRPr="00BA3433">
        <w:t>Land Tenure, Legal and Institutional Framework</w:t>
      </w:r>
      <w:bookmarkEnd w:id="20"/>
    </w:p>
    <w:p w:rsidR="004E4E84" w:rsidRDefault="004E4E84" w:rsidP="008422C0">
      <w:r w:rsidRPr="0016687E">
        <w:t>Vanuatu is a collection of over 80 islands in the South Western Pacifi</w:t>
      </w:r>
      <w:r w:rsidR="00EA10D3">
        <w:t xml:space="preserve">c Ocean. It has a population of </w:t>
      </w:r>
      <w:r w:rsidRPr="0016687E">
        <w:t>approximately 240,000 people and 110 linguistically distinct cultures. The nat</w:t>
      </w:r>
      <w:r w:rsidR="00EA10D3">
        <w:t xml:space="preserve">ion gained Independence in 1980 </w:t>
      </w:r>
      <w:r w:rsidRPr="0016687E">
        <w:t>and has a Westminster style of government. Although the legal system is based on English,</w:t>
      </w:r>
      <w:r w:rsidR="00EA10D3">
        <w:t xml:space="preserve"> French and </w:t>
      </w:r>
      <w:r w:rsidRPr="0016687E">
        <w:t>customary law, the State legal system largely adheres to the English co</w:t>
      </w:r>
      <w:r w:rsidR="00EA10D3">
        <w:t xml:space="preserve">mmon law system. Land is deeply </w:t>
      </w:r>
      <w:r w:rsidRPr="0016687E">
        <w:t>important to Ni-Vanuatu and customary law has been a significant influence o</w:t>
      </w:r>
      <w:r w:rsidR="00EA10D3">
        <w:t xml:space="preserve">n Vanuatu’s land tenure system. </w:t>
      </w:r>
      <w:r w:rsidRPr="0016687E">
        <w:t>Unlike many other ex-colonies, the land and all associated rights were not ves</w:t>
      </w:r>
      <w:r w:rsidR="00EA10D3">
        <w:t xml:space="preserve">ted in the Crown or Government, </w:t>
      </w:r>
      <w:r w:rsidRPr="0016687E">
        <w:t>but in the native people as customary owners.</w:t>
      </w:r>
    </w:p>
    <w:p w:rsidR="004E4E84" w:rsidRPr="00EA10D3" w:rsidRDefault="004E4E84" w:rsidP="000B675E">
      <w:pPr>
        <w:pStyle w:val="Heading3"/>
      </w:pPr>
      <w:r w:rsidRPr="00EA10D3">
        <w:t>The Constitution</w:t>
      </w:r>
    </w:p>
    <w:p w:rsidR="00EA10D3" w:rsidRDefault="004E4E84" w:rsidP="008422C0">
      <w:r w:rsidRPr="008422C0">
        <w:t>The Constitution came into force on 30 July 1980 and is the supreme law of Vanuatu and contains two se</w:t>
      </w:r>
      <w:r w:rsidR="00EA10D3" w:rsidRPr="008422C0">
        <w:t xml:space="preserve">ctions </w:t>
      </w:r>
      <w:r w:rsidRPr="008422C0">
        <w:t>which are relevant to land acquisition and resettlement. Chapter 5, Articles 29 - 32 of</w:t>
      </w:r>
      <w:r w:rsidR="00EA10D3" w:rsidRPr="008422C0">
        <w:t xml:space="preserve"> the Constitution refers to the </w:t>
      </w:r>
      <w:r w:rsidRPr="008422C0">
        <w:t xml:space="preserve">National Council of Chiefs. Of relevance is Article 30 which </w:t>
      </w:r>
      <w:proofErr w:type="spellStart"/>
      <w:r w:rsidRPr="008422C0">
        <w:t>recognises</w:t>
      </w:r>
      <w:proofErr w:type="spellEnd"/>
      <w:r w:rsidRPr="008422C0">
        <w:t xml:space="preserve"> the Nation</w:t>
      </w:r>
      <w:r w:rsidR="00EA10D3" w:rsidRPr="008422C0">
        <w:t xml:space="preserve">al Council of Chiefs membership </w:t>
      </w:r>
      <w:r w:rsidRPr="008422C0">
        <w:t>having the competence to discuss, and be consulted on, any issue rela</w:t>
      </w:r>
      <w:r w:rsidR="00EA10D3" w:rsidRPr="008422C0">
        <w:t xml:space="preserve">ted to customs, culture and its </w:t>
      </w:r>
      <w:proofErr w:type="gramStart"/>
      <w:r w:rsidRPr="008422C0">
        <w:t>preservation.</w:t>
      </w:r>
      <w:proofErr w:type="gramEnd"/>
      <w:r w:rsidRPr="008422C0">
        <w:t xml:space="preserve"> It is not a decision-making body but rather a high-level ad</w:t>
      </w:r>
      <w:r w:rsidR="00EA10D3" w:rsidRPr="008422C0">
        <w:t xml:space="preserve">visory group. Chapter 12 of the </w:t>
      </w:r>
      <w:r w:rsidRPr="008422C0">
        <w:t xml:space="preserve">Constitution is devoted to land. Most discussions relating to land </w:t>
      </w:r>
      <w:proofErr w:type="spellStart"/>
      <w:r w:rsidRPr="008422C0">
        <w:t>centred</w:t>
      </w:r>
      <w:proofErr w:type="spellEnd"/>
      <w:r w:rsidRPr="008422C0">
        <w:t xml:space="preserve"> on Article</w:t>
      </w:r>
      <w:r w:rsidR="00EA10D3" w:rsidRPr="008422C0">
        <w:t xml:space="preserve"> 30 (in Chapter 5) and Articles </w:t>
      </w:r>
      <w:r w:rsidRPr="008422C0">
        <w:t>73 - 81</w:t>
      </w:r>
      <w:r w:rsidRPr="0016687E">
        <w:t xml:space="preserve"> of Chapter 12.</w:t>
      </w:r>
    </w:p>
    <w:p w:rsidR="004E4E84" w:rsidRPr="0016687E" w:rsidRDefault="00EA10D3" w:rsidP="008422C0">
      <w:r>
        <w:t xml:space="preserve">Art 73:  </w:t>
      </w:r>
      <w:r w:rsidR="004E4E84" w:rsidRPr="0016687E">
        <w:t>All land in the Republic of Vanuatu belongs to the indigenous custom owners and their descendants.</w:t>
      </w:r>
    </w:p>
    <w:p w:rsidR="004E4E84" w:rsidRPr="0016687E" w:rsidRDefault="00EA10D3" w:rsidP="008422C0">
      <w:r>
        <w:t xml:space="preserve">Art 74: </w:t>
      </w:r>
      <w:r w:rsidR="004E4E84" w:rsidRPr="0016687E">
        <w:t>The rules of custom shall form the basis of ownership and use of land in the Republic of Vanuatu.</w:t>
      </w:r>
    </w:p>
    <w:p w:rsidR="004E4E84" w:rsidRPr="0016687E" w:rsidRDefault="00EA10D3" w:rsidP="008422C0">
      <w:r>
        <w:t xml:space="preserve">Art 75: </w:t>
      </w:r>
      <w:r w:rsidR="004E4E84" w:rsidRPr="0016687E">
        <w:t xml:space="preserve">Only indigenous citizens of the Republic of Vanuatu who have acquired </w:t>
      </w:r>
      <w:r>
        <w:t xml:space="preserve">their land in accordance with a </w:t>
      </w:r>
      <w:proofErr w:type="spellStart"/>
      <w:r w:rsidR="004E4E84" w:rsidRPr="0016687E">
        <w:t>recognised</w:t>
      </w:r>
      <w:proofErr w:type="spellEnd"/>
      <w:r w:rsidR="004E4E84" w:rsidRPr="0016687E">
        <w:t xml:space="preserve"> system of land tenure shall have perpetual ownership of their land.</w:t>
      </w:r>
    </w:p>
    <w:p w:rsidR="004E4E84" w:rsidRDefault="004E4E84" w:rsidP="008422C0">
      <w:r w:rsidRPr="0016687E">
        <w:t>Art 78 (2): The Government shall arrange for the appropriate customary instit</w:t>
      </w:r>
      <w:r w:rsidR="00EA10D3">
        <w:t xml:space="preserve">utions or procedures to resolve </w:t>
      </w:r>
      <w:r w:rsidRPr="0016687E">
        <w:t>disputes concerning the ownership of custom land.</w:t>
      </w:r>
    </w:p>
    <w:p w:rsidR="004E4E84" w:rsidRDefault="004E4E84" w:rsidP="008422C0">
      <w:r w:rsidRPr="0016687E">
        <w:t>Customary ownership, government controlled land, leases, and restrictions on land transfers are f</w:t>
      </w:r>
      <w:r w:rsidR="00EA10D3">
        <w:t xml:space="preserve">urther detailed </w:t>
      </w:r>
      <w:r w:rsidRPr="0016687E">
        <w:t>below.</w:t>
      </w:r>
    </w:p>
    <w:p w:rsidR="004E4E84" w:rsidRPr="008422C0" w:rsidRDefault="004E4E84" w:rsidP="008422C0">
      <w:pPr>
        <w:rPr>
          <w:b/>
        </w:rPr>
      </w:pPr>
      <w:r w:rsidRPr="008422C0">
        <w:rPr>
          <w:b/>
        </w:rPr>
        <w:t>Customary Ownership</w:t>
      </w:r>
    </w:p>
    <w:p w:rsidR="004E4E84" w:rsidRDefault="004E4E84" w:rsidP="008422C0">
      <w:r w:rsidRPr="0016687E">
        <w:t>Traditionally Ni-Vanuatu viewed owning the land and using the land as two separa</w:t>
      </w:r>
      <w:r w:rsidR="00EA10D3">
        <w:t xml:space="preserve">te things where individuals and </w:t>
      </w:r>
      <w:r w:rsidRPr="0016687E">
        <w:t>small family groups could have individual usage rights to the land without ‘ownership’. While customa</w:t>
      </w:r>
      <w:r w:rsidR="00EA10D3">
        <w:t xml:space="preserve">ry rules for </w:t>
      </w:r>
      <w:r w:rsidRPr="0016687E">
        <w:t>ownership vary across the country, ownership is normally entrusted to individuals or small family groups</w:t>
      </w:r>
    </w:p>
    <w:p w:rsidR="004E4E84" w:rsidRPr="008422C0" w:rsidRDefault="004E4E84" w:rsidP="008422C0">
      <w:pPr>
        <w:rPr>
          <w:b/>
        </w:rPr>
      </w:pPr>
      <w:r w:rsidRPr="008422C0">
        <w:rPr>
          <w:b/>
        </w:rPr>
        <w:t>Government Controlled Land</w:t>
      </w:r>
    </w:p>
    <w:p w:rsidR="004E4E84" w:rsidRDefault="004E4E84" w:rsidP="008422C0">
      <w:r w:rsidRPr="0016687E">
        <w:t xml:space="preserve">Chapter 12 of the Constitution begins by stating all land is owned by the customary owners, but it also allows </w:t>
      </w:r>
      <w:r w:rsidR="00EA10D3">
        <w:t xml:space="preserve">the </w:t>
      </w:r>
      <w:r w:rsidRPr="0016687E">
        <w:t>government to acquire land if it is in the public interest and to redistribute it t</w:t>
      </w:r>
      <w:r w:rsidR="00EA10D3">
        <w:t xml:space="preserve">o other customary owners. These </w:t>
      </w:r>
      <w:r w:rsidRPr="0016687E">
        <w:t>provisions have been translated to regular domestic law.</w:t>
      </w:r>
    </w:p>
    <w:p w:rsidR="004E4E84" w:rsidRPr="008422C0" w:rsidRDefault="004E4E84" w:rsidP="008422C0">
      <w:pPr>
        <w:rPr>
          <w:b/>
        </w:rPr>
      </w:pPr>
      <w:r w:rsidRPr="008422C0">
        <w:rPr>
          <w:b/>
        </w:rPr>
        <w:t>Leased Land</w:t>
      </w:r>
    </w:p>
    <w:p w:rsidR="004E4E84" w:rsidRDefault="004E4E84" w:rsidP="00BB7800">
      <w:r w:rsidRPr="0016687E">
        <w:t>Land can be leased for a period of up to 75 years. Leases are administered u</w:t>
      </w:r>
      <w:r w:rsidR="00EA10D3">
        <w:t xml:space="preserve">nder the Land Leases Act by the </w:t>
      </w:r>
      <w:r w:rsidRPr="0016687E">
        <w:t xml:space="preserve">Government on behalf of the customary owners. This system allows </w:t>
      </w:r>
      <w:r w:rsidR="00EA10D3">
        <w:t xml:space="preserve">the government to oversee lease </w:t>
      </w:r>
      <w:r w:rsidRPr="0016687E">
        <w:t>transactions in accordance with article 79 of the Constitution. Leases are eviden</w:t>
      </w:r>
      <w:r w:rsidR="00EA10D3">
        <w:t xml:space="preserve">ced by registration in the Land </w:t>
      </w:r>
      <w:r w:rsidRPr="0016687E">
        <w:t xml:space="preserve">Leases Register and can be transferred, mortgaged, subleased or disposed of in a </w:t>
      </w:r>
      <w:r w:rsidR="00EA10D3">
        <w:t xml:space="preserve">will subject to the Land Leases </w:t>
      </w:r>
      <w:r w:rsidRPr="0016687E">
        <w:t>Act.</w:t>
      </w:r>
    </w:p>
    <w:p w:rsidR="004E4E84" w:rsidRPr="004A2E2F" w:rsidRDefault="004E4E84" w:rsidP="004A2E2F">
      <w:pPr>
        <w:rPr>
          <w:b/>
        </w:rPr>
      </w:pPr>
      <w:r w:rsidRPr="004A2E2F">
        <w:rPr>
          <w:b/>
        </w:rPr>
        <w:lastRenderedPageBreak/>
        <w:t>Restrictions of Land Transfer</w:t>
      </w:r>
    </w:p>
    <w:p w:rsidR="004E4E84" w:rsidRPr="0016687E" w:rsidRDefault="004E4E84" w:rsidP="004A2E2F">
      <w:r w:rsidRPr="0016687E">
        <w:t>Only Ni-Vanuatu and the government can own land and there is no system of freehold</w:t>
      </w:r>
      <w:r w:rsidR="00EA10D3">
        <w:t xml:space="preserve"> (at least rurally), so in that </w:t>
      </w:r>
      <w:r w:rsidRPr="0016687E">
        <w:t>respect land sales and transfer are highly restricted. However the lease system allo</w:t>
      </w:r>
      <w:r w:rsidR="00EA10D3">
        <w:t xml:space="preserve">ws individuals to deal with the </w:t>
      </w:r>
      <w:r w:rsidRPr="0016687E">
        <w:t>land in a manner similar to a traditional common law system</w:t>
      </w:r>
      <w:r w:rsidR="000B675E">
        <w:rPr>
          <w:rStyle w:val="FootnoteReference"/>
          <w:rFonts w:eastAsia="Times New Roman" w:cs="Arial"/>
          <w:szCs w:val="20"/>
        </w:rPr>
        <w:footnoteReference w:id="3"/>
      </w:r>
      <w:r w:rsidRPr="0016687E">
        <w:t xml:space="preserve">. </w:t>
      </w:r>
    </w:p>
    <w:p w:rsidR="008665BE" w:rsidRPr="008665BE" w:rsidRDefault="008665BE" w:rsidP="00FF58F6">
      <w:pPr>
        <w:pStyle w:val="Heading3"/>
      </w:pPr>
      <w:r w:rsidRPr="008665BE">
        <w:t>Related Land Acts</w:t>
      </w:r>
    </w:p>
    <w:p w:rsidR="008665BE" w:rsidRDefault="008665BE" w:rsidP="004A2E2F">
      <w:r w:rsidRPr="0016687E">
        <w:t>There are more than ten Acts related to land acquisition and resettlement. The main Acts are further detailed</w:t>
      </w:r>
      <w:r w:rsidR="000B675E">
        <w:t xml:space="preserve"> </w:t>
      </w:r>
      <w:r w:rsidRPr="0016687E">
        <w:t>below:</w:t>
      </w:r>
    </w:p>
    <w:p w:rsidR="008665BE" w:rsidRPr="004A2E2F" w:rsidRDefault="008665BE" w:rsidP="004A2E2F">
      <w:pPr>
        <w:rPr>
          <w:b/>
        </w:rPr>
      </w:pPr>
      <w:r w:rsidRPr="004A2E2F">
        <w:rPr>
          <w:b/>
        </w:rPr>
        <w:t>The Land Acquisition Act No. 5 of 1992 (Amendment Act No. 34 of 2000)</w:t>
      </w:r>
    </w:p>
    <w:p w:rsidR="008665BE" w:rsidRDefault="008665BE" w:rsidP="004A2E2F">
      <w:r w:rsidRPr="0016687E">
        <w:t>This is a law directly relevant to Land Acquisition and Resettlement. This Act g</w:t>
      </w:r>
      <w:r>
        <w:t xml:space="preserve">ives the Minister for Lands and </w:t>
      </w:r>
      <w:r w:rsidRPr="0016687E">
        <w:t xml:space="preserve">Natural Resources full discretionary powers to acquire land on the Government’s </w:t>
      </w:r>
      <w:r>
        <w:t xml:space="preserve">behalf. It covers to an extent, </w:t>
      </w:r>
      <w:r w:rsidRPr="0016687E">
        <w:t xml:space="preserve">that which will be compensated under the Act; compensation for damages </w:t>
      </w:r>
      <w:r>
        <w:t xml:space="preserve">made during the process of land </w:t>
      </w:r>
      <w:r w:rsidRPr="0016687E">
        <w:t>valuation; compensation entitlements for land and for rents and business losses;</w:t>
      </w:r>
      <w:r>
        <w:t xml:space="preserve"> basic rights for grievance and </w:t>
      </w:r>
      <w:r w:rsidRPr="0016687E">
        <w:t xml:space="preserve">appeals; and notice periods. This Act does </w:t>
      </w:r>
      <w:proofErr w:type="spellStart"/>
      <w:r w:rsidRPr="0016687E">
        <w:t>recognise</w:t>
      </w:r>
      <w:proofErr w:type="spellEnd"/>
      <w:r w:rsidRPr="0016687E">
        <w:t xml:space="preserve"> market value compen</w:t>
      </w:r>
      <w:r>
        <w:t xml:space="preserve">sation for land but is vague on </w:t>
      </w:r>
      <w:r w:rsidRPr="0016687E">
        <w:t>compensation entitlements for rents and businesses, making it open to misinterpretation. The</w:t>
      </w:r>
      <w:r>
        <w:t xml:space="preserve">re is well </w:t>
      </w:r>
      <w:r w:rsidRPr="0016687E">
        <w:t>documented evidence as to how compensation is determined for land acquisition</w:t>
      </w:r>
      <w:r>
        <w:t xml:space="preserve"> and structures. However, there </w:t>
      </w:r>
      <w:r w:rsidRPr="0016687E">
        <w:t>is no published compensation method that could be identified determining how</w:t>
      </w:r>
      <w:r>
        <w:t xml:space="preserve"> compensation is determined for </w:t>
      </w:r>
      <w:r w:rsidRPr="0016687E">
        <w:t>losses in income to business and for vulnerable (female headed households, poor,</w:t>
      </w:r>
      <w:r>
        <w:t xml:space="preserve"> elderly and landless) affected </w:t>
      </w:r>
      <w:r w:rsidRPr="0016687E">
        <w:t>people.</w:t>
      </w:r>
    </w:p>
    <w:p w:rsidR="008665BE" w:rsidRPr="004A2E2F" w:rsidRDefault="008665BE" w:rsidP="004A2E2F">
      <w:pPr>
        <w:rPr>
          <w:b/>
        </w:rPr>
      </w:pPr>
      <w:r w:rsidRPr="004A2E2F">
        <w:rPr>
          <w:b/>
        </w:rPr>
        <w:t>Land Reform Act 35 (1980 and updated 1981, 1983, 1985, 1992 &amp; 2000)</w:t>
      </w:r>
    </w:p>
    <w:p w:rsidR="008665BE" w:rsidRDefault="008665BE" w:rsidP="004A2E2F">
      <w:r w:rsidRPr="0016687E">
        <w:t>This Act specifies that all land titles will be customary or transferred to the traditional owne</w:t>
      </w:r>
      <w:r>
        <w:t xml:space="preserve">rs, whose percentage </w:t>
      </w:r>
      <w:r w:rsidRPr="0016687E">
        <w:t>can be traced back locally to 200 years. It outlines specifically about indigenou</w:t>
      </w:r>
      <w:r>
        <w:t xml:space="preserve">s owners and the non-indigenous </w:t>
      </w:r>
      <w:r w:rsidRPr="0016687E">
        <w:t xml:space="preserve">land users. This Act, like the Land Acquisition Act is an important one </w:t>
      </w:r>
      <w:r>
        <w:t xml:space="preserve">to understand, when preparing a </w:t>
      </w:r>
      <w:r w:rsidRPr="0016687E">
        <w:t>Resettlement Plan for involuntary land acquisition and resettlement.</w:t>
      </w:r>
    </w:p>
    <w:p w:rsidR="008665BE" w:rsidRPr="004A2E2F" w:rsidRDefault="008665BE" w:rsidP="004A2E2F">
      <w:pPr>
        <w:rPr>
          <w:b/>
        </w:rPr>
      </w:pPr>
      <w:r w:rsidRPr="004A2E2F">
        <w:rPr>
          <w:b/>
        </w:rPr>
        <w:t>Customary Land Tribunal Act No. 7 (2001)</w:t>
      </w:r>
    </w:p>
    <w:p w:rsidR="008665BE" w:rsidRDefault="008665BE" w:rsidP="004A2E2F">
      <w:r w:rsidRPr="0016687E">
        <w:t>This Act details the set-up of the Customary Land Tribunal at village, Island etc. level</w:t>
      </w:r>
      <w:r>
        <w:t xml:space="preserve">, its basic terms of reference, </w:t>
      </w:r>
      <w:r w:rsidRPr="0016687E">
        <w:t>especially for dispute resolution and process for affected person to appeal the tribunal decision.</w:t>
      </w:r>
    </w:p>
    <w:p w:rsidR="008665BE" w:rsidRPr="004A2E2F" w:rsidRDefault="008665BE" w:rsidP="004A2E2F">
      <w:pPr>
        <w:rPr>
          <w:b/>
        </w:rPr>
      </w:pPr>
      <w:r w:rsidRPr="004A2E2F">
        <w:rPr>
          <w:b/>
        </w:rPr>
        <w:t>Valuation of Land Act No. 22 (2002)</w:t>
      </w:r>
    </w:p>
    <w:p w:rsidR="008665BE" w:rsidRPr="0016687E" w:rsidRDefault="008665BE" w:rsidP="004A2E2F">
      <w:r w:rsidRPr="0016687E">
        <w:t xml:space="preserve">This Act relates to the </w:t>
      </w:r>
      <w:proofErr w:type="spellStart"/>
      <w:r w:rsidRPr="0016687E">
        <w:t>organisation</w:t>
      </w:r>
      <w:proofErr w:type="spellEnd"/>
      <w:r w:rsidRPr="0016687E">
        <w:t xml:space="preserve"> of the ‘</w:t>
      </w:r>
      <w:proofErr w:type="spellStart"/>
      <w:r w:rsidRPr="0016687E">
        <w:t>Valuer</w:t>
      </w:r>
      <w:proofErr w:type="spellEnd"/>
      <w:r w:rsidRPr="0016687E">
        <w:t xml:space="preserve"> General’ Office and their r</w:t>
      </w:r>
      <w:r>
        <w:t xml:space="preserve">ole. The Act does not stipulate </w:t>
      </w:r>
      <w:r w:rsidRPr="0016687E">
        <w:t>minimum approach to valuation of the land, which is more directly specified in the ‘Land Acquisition Act’.</w:t>
      </w:r>
    </w:p>
    <w:p w:rsidR="008665BE" w:rsidRDefault="008665BE" w:rsidP="004A2E2F">
      <w:r w:rsidRPr="0016687E">
        <w:t xml:space="preserve">Furthermore, this Act is unclear about the role of the </w:t>
      </w:r>
      <w:proofErr w:type="spellStart"/>
      <w:r w:rsidRPr="0016687E">
        <w:t>Valuer</w:t>
      </w:r>
      <w:proofErr w:type="spellEnd"/>
      <w:r w:rsidRPr="0016687E">
        <w:t xml:space="preserve"> General office in </w:t>
      </w:r>
      <w:r>
        <w:t xml:space="preserve">terms of relocation/involuntary </w:t>
      </w:r>
      <w:r w:rsidRPr="0016687E">
        <w:t>resettlement of households as well as valuation of structures, incomes and businesses.</w:t>
      </w:r>
    </w:p>
    <w:p w:rsidR="008665BE" w:rsidRPr="008665BE" w:rsidRDefault="008665BE" w:rsidP="004A2E2F">
      <w:pPr>
        <w:rPr>
          <w:rFonts w:eastAsia="Times New Roman" w:cs="Arial"/>
          <w:b/>
          <w:szCs w:val="20"/>
        </w:rPr>
      </w:pPr>
      <w:r w:rsidRPr="008665BE">
        <w:rPr>
          <w:rFonts w:eastAsia="Times New Roman" w:cs="Arial"/>
          <w:b/>
          <w:szCs w:val="20"/>
        </w:rPr>
        <w:t>Land Surveyors Act No. 11 (1984)</w:t>
      </w:r>
    </w:p>
    <w:p w:rsidR="008665BE" w:rsidRPr="0016687E" w:rsidRDefault="008665BE" w:rsidP="004A2E2F">
      <w:pPr>
        <w:rPr>
          <w:rFonts w:eastAsia="Times New Roman" w:cs="Arial"/>
          <w:szCs w:val="20"/>
        </w:rPr>
      </w:pPr>
      <w:r w:rsidRPr="0016687E">
        <w:rPr>
          <w:rFonts w:eastAsia="Times New Roman" w:cs="Arial"/>
          <w:szCs w:val="20"/>
        </w:rPr>
        <w:t>This is basically a code of conduct, or a terms of reference for register</w:t>
      </w:r>
      <w:r>
        <w:rPr>
          <w:rFonts w:eastAsia="Times New Roman" w:cs="Arial"/>
          <w:szCs w:val="20"/>
        </w:rPr>
        <w:t xml:space="preserve">ed land surveyors, whom must be </w:t>
      </w:r>
      <w:r w:rsidRPr="0016687E">
        <w:rPr>
          <w:rFonts w:eastAsia="Times New Roman" w:cs="Arial"/>
          <w:szCs w:val="20"/>
        </w:rPr>
        <w:t>registered through the Land Surveyors Board</w:t>
      </w:r>
      <w:r w:rsidR="000B675E">
        <w:rPr>
          <w:rStyle w:val="FootnoteReference"/>
          <w:rFonts w:eastAsia="Times New Roman" w:cs="Arial"/>
          <w:szCs w:val="20"/>
        </w:rPr>
        <w:footnoteReference w:id="4"/>
      </w:r>
      <w:r w:rsidRPr="0016687E">
        <w:rPr>
          <w:rFonts w:eastAsia="Times New Roman" w:cs="Arial"/>
          <w:szCs w:val="20"/>
        </w:rPr>
        <w:t>.</w:t>
      </w:r>
    </w:p>
    <w:p w:rsidR="004E4E84" w:rsidRPr="008665BE" w:rsidRDefault="004E4E84" w:rsidP="00FF58F6">
      <w:pPr>
        <w:pStyle w:val="Heading2"/>
      </w:pPr>
      <w:bookmarkStart w:id="21" w:name="_Toc483323535"/>
      <w:r w:rsidRPr="008665BE">
        <w:lastRenderedPageBreak/>
        <w:t>Traditional Methods of Negotiation and Grievance Procedures</w:t>
      </w:r>
      <w:bookmarkEnd w:id="21"/>
    </w:p>
    <w:p w:rsidR="004E4E84" w:rsidRDefault="004E4E84" w:rsidP="00C44943">
      <w:r w:rsidRPr="0016687E">
        <w:t>When Vanuatu gained independence in 1980 all land was returned to t</w:t>
      </w:r>
      <w:r w:rsidR="008665BE">
        <w:t xml:space="preserve">he customary owners, and it was </w:t>
      </w:r>
      <w:r w:rsidRPr="0016687E">
        <w:t xml:space="preserve">constitutionally guaranteed that the rules of custom form the basis of ownership </w:t>
      </w:r>
      <w:r w:rsidR="008665BE">
        <w:t xml:space="preserve">and use of land. Customary land </w:t>
      </w:r>
      <w:r w:rsidRPr="0016687E">
        <w:t>cannot be alienated or sold off and the Constitution requires the Government t</w:t>
      </w:r>
      <w:r w:rsidR="008665BE">
        <w:t xml:space="preserve">o arrange appropriate customary </w:t>
      </w:r>
      <w:r w:rsidRPr="0016687E">
        <w:t>institutions and procedures to resolve disputes concerning the ownership of custom land.</w:t>
      </w:r>
    </w:p>
    <w:p w:rsidR="008665BE" w:rsidRDefault="004E4E84" w:rsidP="00C44943">
      <w:r w:rsidRPr="0016687E">
        <w:t>Most of the time customary practices resolve disputes and government does not get involved. In 2001, the</w:t>
      </w:r>
      <w:r w:rsidR="008422C0">
        <w:t xml:space="preserve"> </w:t>
      </w:r>
      <w:r w:rsidRPr="0016687E">
        <w:t>Customary Land Tribunal Act was passed to set up structures to deal with own</w:t>
      </w:r>
      <w:r w:rsidR="008665BE">
        <w:t xml:space="preserve">ership and land boundary issues </w:t>
      </w:r>
      <w:r w:rsidRPr="0016687E">
        <w:t>that build on existing structures of custom. In acknowledgement of the multiplicity</w:t>
      </w:r>
      <w:r w:rsidR="008665BE">
        <w:t xml:space="preserve"> of custom, chiefs of each area </w:t>
      </w:r>
      <w:r w:rsidRPr="0016687E">
        <w:t>divided the country into custom areas and sub areas. If customary law has not r</w:t>
      </w:r>
      <w:r w:rsidR="008665BE">
        <w:t xml:space="preserve">esolved the dispute, people can </w:t>
      </w:r>
      <w:r w:rsidRPr="0016687E">
        <w:t xml:space="preserve">apply to go to the village land tribunal, which may be </w:t>
      </w:r>
      <w:proofErr w:type="gramStart"/>
      <w:r w:rsidRPr="0016687E">
        <w:t>joint</w:t>
      </w:r>
      <w:proofErr w:type="gramEnd"/>
      <w:r w:rsidRPr="0016687E">
        <w:t xml:space="preserve"> if more than one village </w:t>
      </w:r>
      <w:r w:rsidR="008665BE">
        <w:t xml:space="preserve">is involved. The meeting of the </w:t>
      </w:r>
      <w:r w:rsidRPr="0016687E">
        <w:t>tribunal is widely advertised and there can be multiple parties to the dispute. Th</w:t>
      </w:r>
      <w:r w:rsidR="008665BE">
        <w:t xml:space="preserve">e principal chief and two other </w:t>
      </w:r>
      <w:r w:rsidRPr="0016687E">
        <w:t>chiefs or elders of each village involved form the village land tribunal. Presentati</w:t>
      </w:r>
      <w:r w:rsidR="008665BE">
        <w:t xml:space="preserve">on of each side’s case proceeds </w:t>
      </w:r>
      <w:r w:rsidRPr="0016687E">
        <w:t>without rules of evidence and there is considerable freedom as to questioning and w</w:t>
      </w:r>
      <w:r w:rsidR="008665BE">
        <w:t xml:space="preserve">ho can speak. Lawyers are not permitted to participate. </w:t>
      </w:r>
    </w:p>
    <w:p w:rsidR="004E4E84" w:rsidRPr="0016687E" w:rsidRDefault="004E4E84" w:rsidP="00C44943">
      <w:r w:rsidRPr="0016687E">
        <w:t>The procedure can be stopped at any time if an amicable settlement is reached. If</w:t>
      </w:r>
      <w:r w:rsidR="008665BE">
        <w:t xml:space="preserve"> this does not occur by the</w:t>
      </w:r>
      <w:r w:rsidR="008422C0">
        <w:t xml:space="preserve"> </w:t>
      </w:r>
      <w:r w:rsidR="008665BE">
        <w:t xml:space="preserve">end </w:t>
      </w:r>
      <w:r w:rsidRPr="0016687E">
        <w:t>of the hearing then the tribunal members must use customary law to make a decision.</w:t>
      </w:r>
    </w:p>
    <w:p w:rsidR="004E4E84" w:rsidRPr="0016687E" w:rsidRDefault="004E4E84" w:rsidP="00C44943">
      <w:pPr>
        <w:rPr>
          <w:rFonts w:eastAsia="Times New Roman" w:cs="Arial"/>
          <w:szCs w:val="20"/>
        </w:rPr>
      </w:pPr>
      <w:r w:rsidRPr="0016687E">
        <w:rPr>
          <w:rFonts w:eastAsia="Times New Roman" w:cs="Arial"/>
          <w:szCs w:val="20"/>
        </w:rPr>
        <w:t>The decision can be appealed to another body – a different set of chiefs and elder</w:t>
      </w:r>
      <w:r w:rsidR="008665BE">
        <w:rPr>
          <w:rFonts w:eastAsia="Times New Roman" w:cs="Arial"/>
          <w:szCs w:val="20"/>
        </w:rPr>
        <w:t xml:space="preserve">s from a wider region than just </w:t>
      </w:r>
      <w:r w:rsidRPr="0016687E">
        <w:rPr>
          <w:rFonts w:eastAsia="Times New Roman" w:cs="Arial"/>
          <w:szCs w:val="20"/>
        </w:rPr>
        <w:t xml:space="preserve">the village. The remit of the Tribunals to use custom is left loose, so as to allow for </w:t>
      </w:r>
      <w:r w:rsidR="008665BE">
        <w:rPr>
          <w:rFonts w:eastAsia="Times New Roman" w:cs="Arial"/>
          <w:szCs w:val="20"/>
        </w:rPr>
        <w:t xml:space="preserve">variation in different regions, </w:t>
      </w:r>
      <w:r w:rsidRPr="0016687E">
        <w:rPr>
          <w:rFonts w:eastAsia="Times New Roman" w:cs="Arial"/>
          <w:szCs w:val="20"/>
        </w:rPr>
        <w:t xml:space="preserve">and for custom to evolve. Legitimacy for the Tribunals decisions is derived from </w:t>
      </w:r>
      <w:r w:rsidR="008665BE">
        <w:rPr>
          <w:rFonts w:eastAsia="Times New Roman" w:cs="Arial"/>
          <w:szCs w:val="20"/>
        </w:rPr>
        <w:t xml:space="preserve">the power and legitimacy of the </w:t>
      </w:r>
      <w:r w:rsidRPr="0016687E">
        <w:rPr>
          <w:rFonts w:eastAsia="Times New Roman" w:cs="Arial"/>
          <w:szCs w:val="20"/>
        </w:rPr>
        <w:t>tribunal members as represented by their standing with the community</w:t>
      </w:r>
      <w:r w:rsidR="000B675E">
        <w:rPr>
          <w:rStyle w:val="FootnoteReference"/>
          <w:rFonts w:eastAsia="Times New Roman" w:cs="Arial"/>
          <w:szCs w:val="20"/>
        </w:rPr>
        <w:footnoteReference w:id="5"/>
      </w:r>
      <w:r w:rsidR="00C44943">
        <w:rPr>
          <w:rFonts w:eastAsia="Times New Roman" w:cs="Arial"/>
          <w:szCs w:val="20"/>
        </w:rPr>
        <w:t>.</w:t>
      </w:r>
    </w:p>
    <w:p w:rsidR="004E4E84" w:rsidRPr="008665BE" w:rsidRDefault="004E4E84" w:rsidP="00FF58F6">
      <w:pPr>
        <w:pStyle w:val="Heading2"/>
      </w:pPr>
      <w:bookmarkStart w:id="22" w:name="_Toc483323536"/>
      <w:r w:rsidRPr="008665BE">
        <w:t xml:space="preserve">Gaps and Observations </w:t>
      </w:r>
      <w:r w:rsidR="008665BE" w:rsidRPr="008665BE">
        <w:t xml:space="preserve">between OP4.12 and Vanuatu Land </w:t>
      </w:r>
      <w:r w:rsidRPr="000B675E">
        <w:t>Management</w:t>
      </w:r>
      <w:r w:rsidR="008422C0">
        <w:t xml:space="preserve"> </w:t>
      </w:r>
      <w:r w:rsidRPr="008665BE">
        <w:t>Practices</w:t>
      </w:r>
      <w:bookmarkEnd w:id="22"/>
    </w:p>
    <w:p w:rsidR="004E4E84" w:rsidRPr="008665BE" w:rsidRDefault="004E4E84" w:rsidP="00FF58F6">
      <w:pPr>
        <w:pStyle w:val="Heading3"/>
      </w:pPr>
      <w:r w:rsidRPr="000B675E">
        <w:t>Current</w:t>
      </w:r>
      <w:r w:rsidRPr="008665BE">
        <w:t xml:space="preserve"> Land Acquisition and Management Practices</w:t>
      </w:r>
    </w:p>
    <w:p w:rsidR="004E4E84" w:rsidRDefault="004E4E84" w:rsidP="00C44943">
      <w:r w:rsidRPr="0016687E">
        <w:t>The majority of Government land acquisition in Vanuatu has been for smaller socia</w:t>
      </w:r>
      <w:r w:rsidR="00FB6A21">
        <w:t xml:space="preserve">l services projects such as for </w:t>
      </w:r>
      <w:r w:rsidRPr="0016687E">
        <w:t xml:space="preserve">village health facilities and educational institutions. For the </w:t>
      </w:r>
      <w:proofErr w:type="spellStart"/>
      <w:r w:rsidRPr="0016687E">
        <w:t>Tanna</w:t>
      </w:r>
      <w:proofErr w:type="spellEnd"/>
      <w:r w:rsidRPr="0016687E">
        <w:t xml:space="preserve"> airport project, the Go</w:t>
      </w:r>
      <w:r w:rsidR="00FB6A21">
        <w:t xml:space="preserve">vernment acquired land </w:t>
      </w:r>
      <w:r w:rsidRPr="0016687E">
        <w:t xml:space="preserve">along the river at </w:t>
      </w:r>
      <w:proofErr w:type="spellStart"/>
      <w:r w:rsidRPr="0016687E">
        <w:t>Freswota</w:t>
      </w:r>
      <w:proofErr w:type="spellEnd"/>
      <w:r w:rsidRPr="0016687E">
        <w:t>, in order to maintain a level of river protection and re</w:t>
      </w:r>
      <w:r w:rsidR="00FB6A21">
        <w:t xml:space="preserve">duce urban encroachment issues. </w:t>
      </w:r>
      <w:r w:rsidRPr="0016687E">
        <w:t>However, apart from this, land acquisition legislation and process have</w:t>
      </w:r>
      <w:r w:rsidR="008422C0">
        <w:t xml:space="preserve"> </w:t>
      </w:r>
      <w:r w:rsidRPr="0016687E">
        <w:t xml:space="preserve">not been </w:t>
      </w:r>
      <w:proofErr w:type="spellStart"/>
      <w:r w:rsidRPr="0016687E">
        <w:t>utilised</w:t>
      </w:r>
      <w:proofErr w:type="spellEnd"/>
      <w:r w:rsidRPr="0016687E">
        <w:t>.</w:t>
      </w:r>
    </w:p>
    <w:p w:rsidR="004E4E84" w:rsidRDefault="004E4E84" w:rsidP="00C44943">
      <w:r w:rsidRPr="0016687E">
        <w:t xml:space="preserve">Prior to developing an infrastructure project, issues around land acquisition </w:t>
      </w:r>
      <w:r w:rsidR="00CE3047">
        <w:t xml:space="preserve">are to be </w:t>
      </w:r>
      <w:r w:rsidRPr="0016687E">
        <w:t>r</w:t>
      </w:r>
      <w:r w:rsidR="00FB6A21">
        <w:t xml:space="preserve"> canvassed. These are reviewed </w:t>
      </w:r>
      <w:r w:rsidRPr="0016687E">
        <w:t>by the Council of Ministers and either approved or rejected. There is no min</w:t>
      </w:r>
      <w:r w:rsidR="00FB6A21">
        <w:t xml:space="preserve">imum standard that requires the </w:t>
      </w:r>
      <w:r w:rsidRPr="0016687E">
        <w:t xml:space="preserve">projects to </w:t>
      </w:r>
      <w:proofErr w:type="spellStart"/>
      <w:r w:rsidRPr="0016687E">
        <w:t>minimise</w:t>
      </w:r>
      <w:proofErr w:type="spellEnd"/>
      <w:r w:rsidRPr="0016687E">
        <w:t xml:space="preserve"> land acquisition and impact on the community.</w:t>
      </w:r>
    </w:p>
    <w:p w:rsidR="004E4E84" w:rsidRDefault="004E4E84" w:rsidP="00C44943">
      <w:r w:rsidRPr="0016687E">
        <w:t>The Council of Chiefs, which is the peak body representing customary issues</w:t>
      </w:r>
      <w:r w:rsidR="00FB6A21">
        <w:t xml:space="preserve"> including land in Vanuatu at a </w:t>
      </w:r>
      <w:r w:rsidRPr="0016687E">
        <w:t>national level, does not necessarily have an input at this or any other stage of th</w:t>
      </w:r>
      <w:r w:rsidR="00FB6A21">
        <w:t xml:space="preserve">e process. The Ministry of Land </w:t>
      </w:r>
      <w:r w:rsidRPr="0016687E">
        <w:t>and Natural Resources (MLNR) is in the process of developing Customary Land</w:t>
      </w:r>
      <w:r w:rsidR="00FB6A21">
        <w:t xml:space="preserve">s Tribunals in each Province to </w:t>
      </w:r>
      <w:r w:rsidRPr="0016687E">
        <w:t>assist in settling customary land disputes. Customary lands identification is still</w:t>
      </w:r>
      <w:r w:rsidR="00FB6A21">
        <w:t xml:space="preserve"> an ongoing process given there </w:t>
      </w:r>
      <w:r w:rsidRPr="0016687E">
        <w:t>are limited records to prove the longstanding (200 years) ties of people to a certain area of land.</w:t>
      </w:r>
    </w:p>
    <w:p w:rsidR="004E4E84" w:rsidRPr="0016687E" w:rsidRDefault="004E4E84" w:rsidP="008422C0">
      <w:r w:rsidRPr="0016687E">
        <w:t xml:space="preserve">Once an area of land is selected for a Government Project, a notice signed by the </w:t>
      </w:r>
      <w:r w:rsidR="00FB6A21">
        <w:t xml:space="preserve">Minister of MLNR is provided to </w:t>
      </w:r>
      <w:r w:rsidRPr="0016687E">
        <w:t xml:space="preserve">the customary owners/title holders and a public notice is erected in full public view. The notice </w:t>
      </w:r>
      <w:r w:rsidRPr="0016687E">
        <w:lastRenderedPageBreak/>
        <w:t>is made for a</w:t>
      </w:r>
      <w:r w:rsidR="00FB6A21">
        <w:t xml:space="preserve"> </w:t>
      </w:r>
      <w:r w:rsidRPr="0016687E">
        <w:t>minimum of 30 days. After this period, the land is assessed and valued. The land valuation is stipulated by Law,</w:t>
      </w:r>
      <w:r w:rsidR="00FB6A21">
        <w:t xml:space="preserve"> </w:t>
      </w:r>
      <w:r w:rsidRPr="0016687E">
        <w:t>but generally involves valuing of the following:</w:t>
      </w:r>
    </w:p>
    <w:p w:rsidR="004E4E84" w:rsidRPr="0016687E" w:rsidRDefault="00B55E93" w:rsidP="00C44943">
      <w:r>
        <w:t xml:space="preserve">Lease type:                      </w:t>
      </w:r>
      <w:r w:rsidR="004E4E84" w:rsidRPr="0016687E">
        <w:t>Residential/Agricultural/Commercial/Special Industrial.</w:t>
      </w:r>
    </w:p>
    <w:p w:rsidR="004E4E84" w:rsidRPr="0016687E" w:rsidRDefault="00B55E93" w:rsidP="00C44943">
      <w:r>
        <w:t xml:space="preserve">Location of property:        </w:t>
      </w:r>
      <w:r w:rsidR="004E4E84" w:rsidRPr="0016687E">
        <w:t xml:space="preserve">From CBD, aesthetic view, amenities, water front, type of </w:t>
      </w:r>
      <w:proofErr w:type="spellStart"/>
      <w:r w:rsidR="004E4E84" w:rsidRPr="0016687E">
        <w:t>neighbourhood</w:t>
      </w:r>
      <w:proofErr w:type="spellEnd"/>
      <w:r w:rsidR="004E4E84" w:rsidRPr="0016687E">
        <w:t>.</w:t>
      </w:r>
    </w:p>
    <w:p w:rsidR="004E4E84" w:rsidRPr="0016687E" w:rsidRDefault="00B55E93" w:rsidP="00C44943">
      <w:r>
        <w:t xml:space="preserve">Marketability:               </w:t>
      </w:r>
      <w:r>
        <w:tab/>
        <w:t xml:space="preserve">  </w:t>
      </w:r>
      <w:r w:rsidR="004E4E84" w:rsidRPr="0016687E">
        <w:t>Number of properties marketed nearby in recent times and price range of those</w:t>
      </w:r>
    </w:p>
    <w:p w:rsidR="004E4E84" w:rsidRDefault="004E4E84" w:rsidP="00C44943">
      <w:r w:rsidRPr="0016687E">
        <w:t xml:space="preserve">                               </w:t>
      </w:r>
      <w:r w:rsidR="00B55E93">
        <w:t xml:space="preserve">          </w:t>
      </w:r>
      <w:proofErr w:type="gramStart"/>
      <w:r w:rsidRPr="0016687E">
        <w:t>transactions</w:t>
      </w:r>
      <w:proofErr w:type="gramEnd"/>
      <w:r w:rsidRPr="0016687E">
        <w:t>.</w:t>
      </w:r>
    </w:p>
    <w:p w:rsidR="004E4E84" w:rsidRPr="0016687E" w:rsidRDefault="004E4E84" w:rsidP="00C44943">
      <w:r w:rsidRPr="0016687E">
        <w:t>Physical Characteristics: Terrain, vegetation, soil type, improvements made size.</w:t>
      </w:r>
    </w:p>
    <w:p w:rsidR="004E4E84" w:rsidRDefault="004E4E84" w:rsidP="00C44943">
      <w:r w:rsidRPr="0016687E">
        <w:t xml:space="preserve">Intangibles:                   </w:t>
      </w:r>
      <w:r w:rsidR="00B55E93">
        <w:t xml:space="preserve">   </w:t>
      </w:r>
      <w:r w:rsidRPr="0016687E">
        <w:t>Interest, customary and other resource rights attached.</w:t>
      </w:r>
    </w:p>
    <w:p w:rsidR="004E4E84" w:rsidRDefault="004E4E84" w:rsidP="00C44943">
      <w:r w:rsidRPr="0016687E">
        <w:t xml:space="preserve">According to the MLNR, valuations include both land and structures affected </w:t>
      </w:r>
      <w:r w:rsidR="00B55E93">
        <w:t xml:space="preserve">and may include value of income </w:t>
      </w:r>
      <w:r w:rsidRPr="0016687E">
        <w:t>produced from land. However, this does not include ‘non-land producing’ i</w:t>
      </w:r>
      <w:r w:rsidR="00B55E93">
        <w:t xml:space="preserve">ncomes such as income from shop </w:t>
      </w:r>
      <w:r w:rsidRPr="0016687E">
        <w:t>business.</w:t>
      </w:r>
    </w:p>
    <w:p w:rsidR="004E4E84" w:rsidRDefault="004E4E84" w:rsidP="00C44943">
      <w:r w:rsidRPr="0016687E">
        <w:t xml:space="preserve">Once the valuation has been made and signed by the minister, the owners have 30 </w:t>
      </w:r>
      <w:r w:rsidR="00B55E93">
        <w:t xml:space="preserve">days to file objections, at the </w:t>
      </w:r>
      <w:r w:rsidRPr="0016687E">
        <w:t>same time, the MLNR must disclose information on the valuation and proposed</w:t>
      </w:r>
      <w:r w:rsidR="00B55E93">
        <w:t xml:space="preserve"> land acquisition over a 30-day </w:t>
      </w:r>
      <w:r w:rsidRPr="0016687E">
        <w:t>period by radio at least three times on separate occasions, in one national n</w:t>
      </w:r>
      <w:r w:rsidR="00B55E93">
        <w:t xml:space="preserve">ewspaper each week, on the main </w:t>
      </w:r>
      <w:r w:rsidRPr="0016687E">
        <w:t>notice boards and on the land itself. Objections must be lodged within this 30 days</w:t>
      </w:r>
      <w:r w:rsidR="00B55E93">
        <w:t xml:space="preserve"> period, and on decision by the </w:t>
      </w:r>
      <w:r w:rsidRPr="0016687E">
        <w:t>minister, the objector, if dissatisfied, may appeal the minister’s decision throug</w:t>
      </w:r>
      <w:r w:rsidR="00B55E93">
        <w:t xml:space="preserve">h the Supreme Court of Vanuatu. </w:t>
      </w:r>
      <w:r w:rsidRPr="0016687E">
        <w:t>However, if the issues are related to tradition and custom, then the National Council of Chiefs may</w:t>
      </w:r>
      <w:r w:rsidR="00B55E93">
        <w:t xml:space="preserve"> be consulted if </w:t>
      </w:r>
      <w:r w:rsidRPr="0016687E">
        <w:t>necessary, although not compulsorily.</w:t>
      </w:r>
    </w:p>
    <w:p w:rsidR="004E4E84" w:rsidRPr="0016687E" w:rsidRDefault="004E4E84" w:rsidP="00C44943">
      <w:r w:rsidRPr="0016687E">
        <w:t>After a 30 day notice period, and as long as all conflict claims and compla</w:t>
      </w:r>
      <w:r w:rsidR="00B55E93">
        <w:t xml:space="preserve">ints are resolved, the physical </w:t>
      </w:r>
      <w:r w:rsidRPr="0016687E">
        <w:t>compensation processes can then commence. The MLNR is responsible for this process, monitored by the</w:t>
      </w:r>
      <w:r w:rsidR="00CE3047">
        <w:t xml:space="preserve"> </w:t>
      </w:r>
      <w:r w:rsidRPr="0016687E">
        <w:t>Ministry of Finance and Economic Management (MFEM).</w:t>
      </w:r>
    </w:p>
    <w:p w:rsidR="004E4E84" w:rsidRPr="0016687E" w:rsidRDefault="004E4E84" w:rsidP="00C44943">
      <w:r w:rsidRPr="0016687E">
        <w:t>However, problems in moving through this stage may include complaints ab</w:t>
      </w:r>
      <w:r w:rsidR="00F333CC">
        <w:t xml:space="preserve">out the process of valuation to </w:t>
      </w:r>
      <w:r w:rsidRPr="0016687E">
        <w:t>compensation itself; and process of the assessment of disputes. This is generally supposed to be se</w:t>
      </w:r>
      <w:r w:rsidR="00F333CC">
        <w:t xml:space="preserve">ttled through </w:t>
      </w:r>
      <w:r w:rsidRPr="0016687E">
        <w:t>the Customary Lands Tribunal or if unresolved through the Supreme Court system</w:t>
      </w:r>
      <w:r w:rsidR="00CE3047">
        <w:rPr>
          <w:rStyle w:val="FootnoteReference"/>
          <w:rFonts w:eastAsia="Times New Roman" w:cs="Arial"/>
          <w:szCs w:val="20"/>
        </w:rPr>
        <w:footnoteReference w:id="6"/>
      </w:r>
      <w:r w:rsidRPr="0016687E">
        <w:t>.</w:t>
      </w:r>
    </w:p>
    <w:p w:rsidR="004E4E84" w:rsidRPr="00F333CC" w:rsidRDefault="004E4E84" w:rsidP="00FF58F6">
      <w:pPr>
        <w:pStyle w:val="Heading3"/>
      </w:pPr>
      <w:r w:rsidRPr="00F333CC">
        <w:t>Gap Assessment against WB Policy for Land Acquisition</w:t>
      </w:r>
    </w:p>
    <w:p w:rsidR="00F333CC" w:rsidRDefault="004E4E84" w:rsidP="00C44943">
      <w:r w:rsidRPr="0016687E">
        <w:t>An assessment has been undertaken to compare the policies and required measu</w:t>
      </w:r>
      <w:r w:rsidR="00F333CC">
        <w:t xml:space="preserve">res outlined by the WB for Land </w:t>
      </w:r>
      <w:r w:rsidRPr="0016687E">
        <w:t>Acquisition (WB OP4.12) and the laws and practices of land acquisition used b</w:t>
      </w:r>
      <w:r w:rsidR="00F333CC">
        <w:t xml:space="preserve">y the Government of Vanuatu and </w:t>
      </w:r>
      <w:r w:rsidRPr="0016687E">
        <w:t>as outlined in section 3.3.1 above. The WB policies and required measures</w:t>
      </w:r>
      <w:r w:rsidR="00F333CC">
        <w:t xml:space="preserve"> that have been included in the </w:t>
      </w:r>
      <w:r w:rsidRPr="0016687E">
        <w:t>assessment because they relate more to land acquisition (and not resettlement of displace</w:t>
      </w:r>
      <w:r w:rsidR="008422C0">
        <w:t>d</w:t>
      </w:r>
      <w:r w:rsidRPr="0016687E">
        <w:t xml:space="preserve"> people) are:</w:t>
      </w:r>
    </w:p>
    <w:p w:rsidR="004E4E84" w:rsidRDefault="004E4E84" w:rsidP="00C44943">
      <w:pPr>
        <w:rPr>
          <w:rFonts w:eastAsia="Times New Roman" w:cs="Arial"/>
          <w:szCs w:val="20"/>
        </w:rPr>
      </w:pPr>
      <w:r w:rsidRPr="0016687E">
        <w:rPr>
          <w:rFonts w:eastAsia="Times New Roman" w:cs="Arial"/>
          <w:szCs w:val="20"/>
        </w:rPr>
        <w:t>-       Policy Objectives 2(c); and</w:t>
      </w:r>
    </w:p>
    <w:p w:rsidR="004E4E84" w:rsidRDefault="004E4E84" w:rsidP="00C44943">
      <w:pPr>
        <w:rPr>
          <w:rFonts w:eastAsia="Times New Roman" w:cs="Arial"/>
          <w:szCs w:val="20"/>
        </w:rPr>
      </w:pPr>
      <w:r w:rsidRPr="0016687E">
        <w:rPr>
          <w:rFonts w:eastAsia="Times New Roman" w:cs="Arial"/>
          <w:szCs w:val="20"/>
        </w:rPr>
        <w:t>-       Required Measures 8, 12, 14, 20.</w:t>
      </w:r>
    </w:p>
    <w:p w:rsidR="004E4E84" w:rsidRPr="0016687E" w:rsidRDefault="004E4E84" w:rsidP="00C44943">
      <w:pPr>
        <w:rPr>
          <w:rFonts w:eastAsia="Times New Roman" w:cs="Arial"/>
          <w:szCs w:val="20"/>
        </w:rPr>
      </w:pPr>
      <w:r w:rsidRPr="0016687E">
        <w:rPr>
          <w:rFonts w:eastAsia="Times New Roman" w:cs="Arial"/>
          <w:szCs w:val="20"/>
        </w:rPr>
        <w:t>Any differences between the laws and practices of the Government of Vanuatu and WB policies on Land</w:t>
      </w:r>
      <w:r w:rsidR="00CE3047">
        <w:rPr>
          <w:rFonts w:eastAsia="Times New Roman" w:cs="Arial"/>
          <w:szCs w:val="20"/>
        </w:rPr>
        <w:t xml:space="preserve"> </w:t>
      </w:r>
      <w:r w:rsidRPr="0016687E">
        <w:rPr>
          <w:rFonts w:eastAsia="Times New Roman" w:cs="Arial"/>
          <w:szCs w:val="20"/>
        </w:rPr>
        <w:t xml:space="preserve">Acquisition will be resolved </w:t>
      </w:r>
      <w:r w:rsidR="008422C0">
        <w:rPr>
          <w:rFonts w:eastAsia="Times New Roman" w:cs="Arial"/>
          <w:szCs w:val="20"/>
        </w:rPr>
        <w:t>so that both are complied with</w:t>
      </w:r>
      <w:r w:rsidRPr="0016687E">
        <w:rPr>
          <w:rFonts w:eastAsia="Times New Roman" w:cs="Arial"/>
          <w:szCs w:val="20"/>
        </w:rPr>
        <w:t>. A summary of the gap as</w:t>
      </w:r>
      <w:r w:rsidR="00F333CC">
        <w:rPr>
          <w:rFonts w:eastAsia="Times New Roman" w:cs="Arial"/>
          <w:szCs w:val="20"/>
        </w:rPr>
        <w:t xml:space="preserve">sessment is provided in Table 3 </w:t>
      </w:r>
      <w:r w:rsidRPr="0016687E">
        <w:rPr>
          <w:rFonts w:eastAsia="Times New Roman" w:cs="Arial"/>
          <w:szCs w:val="20"/>
        </w:rPr>
        <w:t>below.</w:t>
      </w:r>
    </w:p>
    <w:p w:rsidR="00F333CC" w:rsidRDefault="00F333C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sectPr w:rsidR="00F333CC">
          <w:headerReference w:type="default" r:id="rId9"/>
          <w:footerReference w:type="default" r:id="rId10"/>
          <w:pgSz w:w="12240" w:h="15840"/>
          <w:pgMar w:top="1440" w:right="1440" w:bottom="1440" w:left="1440" w:header="720" w:footer="720" w:gutter="0"/>
          <w:cols w:space="720"/>
          <w:docGrid w:linePitch="360"/>
        </w:sectPr>
      </w:pPr>
    </w:p>
    <w:p w:rsidR="004E4E84" w:rsidRPr="00F333CC"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0"/>
        </w:rPr>
      </w:pPr>
      <w:r w:rsidRPr="00F333CC">
        <w:rPr>
          <w:rFonts w:eastAsia="Times New Roman" w:cs="Arial"/>
          <w:b/>
          <w:szCs w:val="20"/>
        </w:rPr>
        <w:lastRenderedPageBreak/>
        <w:t xml:space="preserve"> Table 3     Comparison of Land Acquisition and Resettlement Policies in Vanuatu and WB OP4.12</w:t>
      </w:r>
    </w:p>
    <w:tbl>
      <w:tblPr>
        <w:tblStyle w:val="TableGrid"/>
        <w:tblW w:w="0" w:type="auto"/>
        <w:tblLook w:val="04A0" w:firstRow="1" w:lastRow="0" w:firstColumn="1" w:lastColumn="0" w:noHBand="0" w:noVBand="1"/>
      </w:tblPr>
      <w:tblGrid>
        <w:gridCol w:w="805"/>
        <w:gridCol w:w="3780"/>
        <w:gridCol w:w="3420"/>
        <w:gridCol w:w="4945"/>
      </w:tblGrid>
      <w:tr w:rsidR="00F22F3C" w:rsidRPr="00F333CC" w:rsidTr="008422C0">
        <w:trPr>
          <w:tblHeader/>
        </w:trPr>
        <w:tc>
          <w:tcPr>
            <w:tcW w:w="805" w:type="dxa"/>
            <w:shd w:val="clear" w:color="auto" w:fill="CC0099"/>
          </w:tcPr>
          <w:p w:rsidR="00F22F3C" w:rsidRPr="00F22F3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3780" w:type="dxa"/>
            <w:shd w:val="clear" w:color="auto" w:fill="CC0099"/>
          </w:tcPr>
          <w:p w:rsidR="00F22F3C" w:rsidRPr="00F22F3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F22F3C">
              <w:rPr>
                <w:rFonts w:eastAsia="Times New Roman" w:cs="Arial"/>
                <w:b/>
                <w:color w:val="FFFFFF" w:themeColor="background1"/>
                <w:szCs w:val="20"/>
              </w:rPr>
              <w:t xml:space="preserve"> WBOP4.12 Provisions</w:t>
            </w:r>
          </w:p>
          <w:p w:rsidR="00F22F3C" w:rsidRPr="00F22F3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3420" w:type="dxa"/>
            <w:shd w:val="clear" w:color="auto" w:fill="CC0099"/>
          </w:tcPr>
          <w:p w:rsidR="00F22F3C" w:rsidRPr="00F22F3C"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F22F3C">
              <w:rPr>
                <w:rFonts w:eastAsia="Times New Roman" w:cs="Arial"/>
                <w:b/>
                <w:color w:val="FFFFFF" w:themeColor="background1"/>
                <w:szCs w:val="20"/>
              </w:rPr>
              <w:t>Potential Gaps in Vanuatu Law</w:t>
            </w:r>
          </w:p>
          <w:p w:rsidR="00F22F3C" w:rsidRPr="00F22F3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4945" w:type="dxa"/>
            <w:shd w:val="clear" w:color="auto" w:fill="CC0099"/>
          </w:tcPr>
          <w:p w:rsidR="00F22F3C" w:rsidRPr="00F22F3C"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rFonts w:eastAsia="Times New Roman" w:cs="Arial"/>
                <w:b/>
                <w:color w:val="FFFFFF" w:themeColor="background1"/>
                <w:szCs w:val="20"/>
              </w:rPr>
            </w:pPr>
            <w:r w:rsidRPr="00F22F3C">
              <w:rPr>
                <w:rFonts w:eastAsia="Times New Roman" w:cs="Arial"/>
                <w:b/>
                <w:color w:val="FFFFFF" w:themeColor="background1"/>
                <w:szCs w:val="20"/>
              </w:rPr>
              <w:t xml:space="preserve">Bridging the Gap: Reconciliation </w:t>
            </w:r>
            <w:r>
              <w:rPr>
                <w:rFonts w:eastAsia="Times New Roman" w:cs="Arial"/>
                <w:b/>
                <w:color w:val="FFFFFF" w:themeColor="background1"/>
                <w:szCs w:val="20"/>
              </w:rPr>
              <w:t>Provisions</w:t>
            </w:r>
          </w:p>
          <w:p w:rsidR="00F22F3C" w:rsidRPr="00F22F3C"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r>
      <w:tr w:rsidR="00F22F3C" w:rsidRPr="00F333CC" w:rsidTr="008422C0">
        <w:trPr>
          <w:tblHeader/>
        </w:trPr>
        <w:tc>
          <w:tcPr>
            <w:tcW w:w="805" w:type="dxa"/>
            <w:shd w:val="clear" w:color="auto" w:fill="CC0099"/>
          </w:tcPr>
          <w:p w:rsidR="00F22F3C" w:rsidRPr="00F22F3C"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12145" w:type="dxa"/>
            <w:gridSpan w:val="3"/>
            <w:shd w:val="clear" w:color="auto" w:fill="CC0099"/>
            <w:vAlign w:val="center"/>
          </w:tcPr>
          <w:p w:rsidR="00F22F3C" w:rsidRPr="003E077F"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F22F3C">
              <w:rPr>
                <w:rFonts w:eastAsia="Times New Roman" w:cs="Arial"/>
                <w:b/>
                <w:color w:val="FFFFFF" w:themeColor="background1"/>
                <w:szCs w:val="20"/>
              </w:rPr>
              <w:t>REQUIRED MEASURES</w:t>
            </w:r>
          </w:p>
        </w:tc>
      </w:tr>
      <w:tr w:rsidR="00F22F3C" w:rsidRPr="00F333CC" w:rsidTr="003E077F">
        <w:tc>
          <w:tcPr>
            <w:tcW w:w="805" w:type="dxa"/>
          </w:tcPr>
          <w:p w:rsidR="00F22F3C" w:rsidRPr="00F333C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8</w:t>
            </w:r>
          </w:p>
        </w:tc>
        <w:tc>
          <w:tcPr>
            <w:tcW w:w="3780" w:type="dxa"/>
          </w:tcPr>
          <w:p w:rsidR="00F22F3C" w:rsidRPr="00F333CC" w:rsidRDefault="00F22F3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333CC">
              <w:rPr>
                <w:rFonts w:eastAsia="Times New Roman" w:cs="Arial"/>
                <w:szCs w:val="20"/>
              </w:rPr>
              <w:t>To achieve the objecti</w:t>
            </w:r>
            <w:r>
              <w:rPr>
                <w:rFonts w:eastAsia="Times New Roman" w:cs="Arial"/>
                <w:szCs w:val="20"/>
              </w:rPr>
              <w:t xml:space="preserve">ves of this policy, particular </w:t>
            </w:r>
            <w:r w:rsidRPr="00F333CC">
              <w:rPr>
                <w:rFonts w:eastAsia="Times New Roman" w:cs="Arial"/>
                <w:szCs w:val="20"/>
              </w:rPr>
              <w:t xml:space="preserve">attention is paid to the needs of vulnerable groups </w:t>
            </w:r>
            <w:r>
              <w:rPr>
                <w:rFonts w:eastAsia="Times New Roman" w:cs="Arial"/>
                <w:szCs w:val="20"/>
              </w:rPr>
              <w:t>among those displaced, especially those below the poverty line, the landless, the elderly, women and children, indigenous</w:t>
            </w:r>
            <w:r w:rsidR="002E1D00">
              <w:rPr>
                <w:rFonts w:eastAsia="Times New Roman" w:cs="Arial"/>
                <w:szCs w:val="20"/>
              </w:rPr>
              <w:t xml:space="preserve"> peoples, ethnic minorities, or other displaced persons who may not be protected through national land compensation legislation.</w:t>
            </w:r>
            <w:r>
              <w:rPr>
                <w:rFonts w:eastAsia="Times New Roman" w:cs="Arial"/>
                <w:szCs w:val="20"/>
              </w:rPr>
              <w:t xml:space="preserve"> </w:t>
            </w:r>
            <w:r w:rsidRPr="00F333CC">
              <w:rPr>
                <w:rFonts w:eastAsia="Times New Roman" w:cs="Arial"/>
                <w:szCs w:val="20"/>
              </w:rPr>
              <w:t xml:space="preserve">                    </w:t>
            </w:r>
          </w:p>
        </w:tc>
        <w:tc>
          <w:tcPr>
            <w:tcW w:w="3420" w:type="dxa"/>
          </w:tcPr>
          <w:p w:rsidR="00F22F3C" w:rsidRPr="00F333CC" w:rsidRDefault="00F22F3C" w:rsidP="00CE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333CC">
              <w:rPr>
                <w:rFonts w:eastAsia="Times New Roman" w:cs="Arial"/>
                <w:szCs w:val="20"/>
              </w:rPr>
              <w:t>The law and current practice does require the</w:t>
            </w:r>
            <w:r>
              <w:rPr>
                <w:rFonts w:eastAsia="Times New Roman" w:cs="Arial"/>
                <w:szCs w:val="20"/>
              </w:rPr>
              <w:t xml:space="preserve"> </w:t>
            </w:r>
            <w:r w:rsidRPr="00F333CC">
              <w:rPr>
                <w:rFonts w:eastAsia="Times New Roman" w:cs="Arial"/>
                <w:szCs w:val="20"/>
              </w:rPr>
              <w:t xml:space="preserve">acquisition and relocation orders to be disclosed </w:t>
            </w:r>
            <w:r w:rsidR="002E1D00">
              <w:rPr>
                <w:rFonts w:eastAsia="Times New Roman" w:cs="Arial"/>
                <w:szCs w:val="20"/>
              </w:rPr>
              <w:t>several times over radio and in the printed media over a 1-month period, as well as displayed on site. However, there is no recognition of vulnerable groups nor the consultation with or participation by affected persons at any part of the process, except in the case of people given the opportunity to make objections.</w:t>
            </w:r>
            <w:r w:rsidRPr="00F333CC">
              <w:rPr>
                <w:rFonts w:eastAsia="Times New Roman" w:cs="Arial"/>
                <w:szCs w:val="20"/>
              </w:rPr>
              <w:t xml:space="preserve">             </w:t>
            </w:r>
          </w:p>
        </w:tc>
        <w:tc>
          <w:tcPr>
            <w:tcW w:w="4945" w:type="dxa"/>
          </w:tcPr>
          <w:p w:rsidR="00F22F3C" w:rsidRPr="00F333CC" w:rsidRDefault="00F22F3C" w:rsidP="0084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F333CC">
              <w:rPr>
                <w:rFonts w:eastAsia="Times New Roman" w:cs="Arial"/>
                <w:szCs w:val="20"/>
              </w:rPr>
              <w:t>WB OP4.12 will be enforced in that the prepared</w:t>
            </w:r>
            <w:r>
              <w:rPr>
                <w:rFonts w:eastAsia="Times New Roman" w:cs="Arial"/>
                <w:szCs w:val="20"/>
              </w:rPr>
              <w:t xml:space="preserve"> </w:t>
            </w:r>
            <w:r w:rsidR="00CE3047">
              <w:rPr>
                <w:rFonts w:eastAsia="Times New Roman" w:cs="Arial"/>
                <w:szCs w:val="20"/>
              </w:rPr>
              <w:t>ARAP</w:t>
            </w:r>
            <w:r w:rsidRPr="00F333CC">
              <w:rPr>
                <w:rFonts w:eastAsia="Times New Roman" w:cs="Arial"/>
                <w:szCs w:val="20"/>
              </w:rPr>
              <w:t xml:space="preserve"> and its implementation will</w:t>
            </w:r>
            <w:r w:rsidR="002E1D00">
              <w:rPr>
                <w:rFonts w:eastAsia="Times New Roman" w:cs="Arial"/>
                <w:szCs w:val="20"/>
              </w:rPr>
              <w:t xml:space="preserve"> require participation and consultation of vulnerable groups as set out in </w:t>
            </w:r>
            <w:r w:rsidR="008422C0">
              <w:rPr>
                <w:rFonts w:eastAsia="Times New Roman" w:cs="Arial"/>
                <w:szCs w:val="20"/>
              </w:rPr>
              <w:t xml:space="preserve">the </w:t>
            </w:r>
            <w:r w:rsidR="008422C0" w:rsidRPr="008422C0">
              <w:rPr>
                <w:rFonts w:eastAsia="Times New Roman" w:cs="Arial"/>
                <w:szCs w:val="20"/>
              </w:rPr>
              <w:t>ESMF</w:t>
            </w:r>
            <w:r w:rsidR="002E1D00" w:rsidRPr="008422C0">
              <w:rPr>
                <w:rFonts w:eastAsia="Times New Roman" w:cs="Arial"/>
                <w:szCs w:val="20"/>
              </w:rPr>
              <w:t>.</w:t>
            </w:r>
          </w:p>
        </w:tc>
      </w:tr>
      <w:tr w:rsidR="00F22F3C" w:rsidRPr="00F333CC" w:rsidTr="003E077F">
        <w:tc>
          <w:tcPr>
            <w:tcW w:w="805" w:type="dxa"/>
          </w:tcPr>
          <w:p w:rsidR="00F22F3C" w:rsidRPr="00F333C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12</w:t>
            </w:r>
          </w:p>
        </w:tc>
        <w:tc>
          <w:tcPr>
            <w:tcW w:w="3780" w:type="dxa"/>
          </w:tcPr>
          <w:p w:rsidR="00F22F3C" w:rsidRPr="00F333CC" w:rsidRDefault="00356EDC" w:rsidP="00F2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Payment of cash compensation for lost assets may be appropriate where (a) livelihoods are land-based but the land taken for the project is a small fraction of the affected asset and the residual is </w:t>
            </w:r>
            <w:r w:rsidR="006A4DDD">
              <w:rPr>
                <w:rFonts w:eastAsia="Times New Roman" w:cs="Arial"/>
                <w:szCs w:val="20"/>
              </w:rPr>
              <w:t>economically viable; (b) active markets for land, housing and labor exist, displaced persons use such markets, and there is sufficient supply of land and housing; (c) livelihoods are not land-based. Cash compensation levels should be sufficient to replace the lost land and other assets at full replacement cost in local markets.</w:t>
            </w:r>
          </w:p>
        </w:tc>
        <w:tc>
          <w:tcPr>
            <w:tcW w:w="3420" w:type="dxa"/>
          </w:tcPr>
          <w:p w:rsidR="00F22F3C" w:rsidRPr="00F333CC" w:rsidRDefault="006A4DDD"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Compensation is determined based on issues including land type, crops etc. However, this does not include non-land producing income such as income from shop business etc. It also does not necessarily require that compensation be provided and that conditions of the affected people be the same level or better than pre-project situation.</w:t>
            </w:r>
          </w:p>
        </w:tc>
        <w:tc>
          <w:tcPr>
            <w:tcW w:w="4945" w:type="dxa"/>
          </w:tcPr>
          <w:p w:rsidR="00F22F3C" w:rsidRPr="00F333CC" w:rsidRDefault="006A4DDD" w:rsidP="00CE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For this Project, compensation for losses by businesses and for employee’s salaries will be considered in the entitlement. Land, assets and income losses is generally valued by the MLNR. MLNR will be used to assist in compensation as per Vanuatu Law</w:t>
            </w:r>
            <w:r w:rsidR="00CE3047">
              <w:rPr>
                <w:rFonts w:eastAsia="Times New Roman" w:cs="Arial"/>
                <w:szCs w:val="20"/>
              </w:rPr>
              <w:t xml:space="preserve"> and OP4.12</w:t>
            </w:r>
            <w:r>
              <w:rPr>
                <w:rFonts w:eastAsia="Times New Roman" w:cs="Arial"/>
                <w:szCs w:val="20"/>
              </w:rPr>
              <w:t>. It is common practice for replacement income to be equivalent to 3 months.</w:t>
            </w:r>
            <w:r w:rsidR="00CE3047">
              <w:rPr>
                <w:rFonts w:eastAsia="Times New Roman" w:cs="Arial"/>
                <w:szCs w:val="20"/>
              </w:rPr>
              <w:t xml:space="preserve">  </w:t>
            </w:r>
          </w:p>
        </w:tc>
      </w:tr>
      <w:tr w:rsidR="00F22F3C" w:rsidRPr="00F333CC" w:rsidTr="003E077F">
        <w:tc>
          <w:tcPr>
            <w:tcW w:w="805" w:type="dxa"/>
          </w:tcPr>
          <w:p w:rsidR="00F22F3C" w:rsidRPr="00F333CC" w:rsidRDefault="00F22F3C"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14</w:t>
            </w:r>
          </w:p>
        </w:tc>
        <w:tc>
          <w:tcPr>
            <w:tcW w:w="3780" w:type="dxa"/>
          </w:tcPr>
          <w:p w:rsidR="00F22F3C" w:rsidRPr="00F333CC" w:rsidRDefault="006A4DDD"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Upon identification of the need for involuntary resettlement in a project, the borrower carries out a census to identify the persons who will be affected by the project to determine who will be affected for assistance, and to discourage inflow of people ineligible for assistance.</w:t>
            </w:r>
          </w:p>
        </w:tc>
        <w:tc>
          <w:tcPr>
            <w:tcW w:w="3420" w:type="dxa"/>
          </w:tcPr>
          <w:p w:rsidR="00F22F3C" w:rsidRPr="00F333CC" w:rsidRDefault="006A4DDD"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The law and current practice does specify census requirements and protocols for managing inflow of ineligible people.</w:t>
            </w:r>
          </w:p>
        </w:tc>
        <w:tc>
          <w:tcPr>
            <w:tcW w:w="4945" w:type="dxa"/>
          </w:tcPr>
          <w:p w:rsidR="00F22F3C" w:rsidRPr="00F333CC" w:rsidRDefault="006A4DDD" w:rsidP="00CE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For this Project, a census of affected persons including inventory of losses and basic socio-economic information at household level will be undertaken. The inventory of losses will cover the values of impacted land, structures, business/livelihood</w:t>
            </w:r>
            <w:r w:rsidR="003E077F">
              <w:rPr>
                <w:rFonts w:eastAsia="Times New Roman" w:cs="Arial"/>
                <w:szCs w:val="20"/>
              </w:rPr>
              <w:t xml:space="preserve">s and assets (see sample forms in Appendix B – Inventory of Assets). The cut-off date for the </w:t>
            </w:r>
            <w:r w:rsidR="00CE3047">
              <w:rPr>
                <w:rFonts w:eastAsia="Times New Roman" w:cs="Arial"/>
                <w:szCs w:val="20"/>
              </w:rPr>
              <w:t>ARAP</w:t>
            </w:r>
            <w:r w:rsidR="003E077F">
              <w:rPr>
                <w:rFonts w:eastAsia="Times New Roman" w:cs="Arial"/>
                <w:szCs w:val="20"/>
              </w:rPr>
              <w:t xml:space="preserve"> will be the date when the inventory of affected people is completed and set out in the </w:t>
            </w:r>
            <w:r w:rsidR="00CE3047">
              <w:rPr>
                <w:rFonts w:eastAsia="Times New Roman" w:cs="Arial"/>
                <w:szCs w:val="20"/>
              </w:rPr>
              <w:lastRenderedPageBreak/>
              <w:t>ARAP</w:t>
            </w:r>
            <w:r w:rsidR="003E077F">
              <w:rPr>
                <w:rFonts w:eastAsia="Times New Roman" w:cs="Arial"/>
                <w:szCs w:val="20"/>
              </w:rPr>
              <w:t xml:space="preserve">. Any </w:t>
            </w:r>
            <w:r w:rsidR="00CE3047">
              <w:rPr>
                <w:rFonts w:eastAsia="Times New Roman" w:cs="Arial"/>
                <w:szCs w:val="20"/>
              </w:rPr>
              <w:t xml:space="preserve">new claimants </w:t>
            </w:r>
            <w:r w:rsidR="003E077F">
              <w:rPr>
                <w:rFonts w:eastAsia="Times New Roman" w:cs="Arial"/>
                <w:szCs w:val="20"/>
              </w:rPr>
              <w:t>after that cut-off date will not be included in the compensation process, unless there has been a clear change in scope of design of the project, leading to the requirement for an updated plan.</w:t>
            </w:r>
          </w:p>
        </w:tc>
      </w:tr>
      <w:tr w:rsidR="003E077F" w:rsidRPr="00F333CC" w:rsidTr="003E077F">
        <w:tc>
          <w:tcPr>
            <w:tcW w:w="805" w:type="dxa"/>
          </w:tcPr>
          <w:p w:rsidR="003E077F" w:rsidRDefault="003E077F"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20</w:t>
            </w:r>
          </w:p>
        </w:tc>
        <w:tc>
          <w:tcPr>
            <w:tcW w:w="3780" w:type="dxa"/>
          </w:tcPr>
          <w:p w:rsidR="003E077F" w:rsidRDefault="003E077F"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The full costs of resettlement activities necessary to achieve the objectives of the project are included in the total costs of the project.</w:t>
            </w:r>
          </w:p>
        </w:tc>
        <w:tc>
          <w:tcPr>
            <w:tcW w:w="3420" w:type="dxa"/>
          </w:tcPr>
          <w:p w:rsidR="003E077F" w:rsidRDefault="003E077F"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Laws and practices in Vanuatu require that the Project budget consider and includes land acquisition costs.</w:t>
            </w:r>
          </w:p>
        </w:tc>
        <w:tc>
          <w:tcPr>
            <w:tcW w:w="4945" w:type="dxa"/>
          </w:tcPr>
          <w:p w:rsidR="003E077F" w:rsidRDefault="003E077F"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Not required</w:t>
            </w:r>
          </w:p>
        </w:tc>
      </w:tr>
    </w:tbl>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0951DC" w:rsidRDefault="004E4E84" w:rsidP="0096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sectPr w:rsidR="000951DC" w:rsidSect="00F333CC">
          <w:pgSz w:w="15840" w:h="12240" w:orient="landscape"/>
          <w:pgMar w:top="1440" w:right="1440" w:bottom="1440" w:left="1440" w:header="720" w:footer="720" w:gutter="0"/>
          <w:cols w:space="720"/>
          <w:docGrid w:linePitch="360"/>
        </w:sectPr>
      </w:pPr>
      <w:r w:rsidRPr="0016687E">
        <w:rPr>
          <w:rFonts w:eastAsia="Times New Roman" w:cs="Arial"/>
          <w:szCs w:val="20"/>
        </w:rPr>
        <w:t xml:space="preserve">       </w:t>
      </w:r>
    </w:p>
    <w:p w:rsidR="004E4E84" w:rsidRPr="00A33571" w:rsidRDefault="004E4E84" w:rsidP="008422C0">
      <w:pPr>
        <w:pStyle w:val="Heading3"/>
      </w:pPr>
      <w:r w:rsidRPr="00A33571">
        <w:lastRenderedPageBreak/>
        <w:t>Vanuatu and WB Land Acquisition Policy Provisions – Bridging the Gap</w:t>
      </w:r>
    </w:p>
    <w:p w:rsidR="00A33571" w:rsidRDefault="004E4E84" w:rsidP="00C44943">
      <w:r w:rsidRPr="0016687E">
        <w:t xml:space="preserve">Based on the gap assessment of the laws and practices of Vanuatu and the </w:t>
      </w:r>
      <w:r w:rsidR="00A33571">
        <w:t xml:space="preserve">WB policy requirements for Land </w:t>
      </w:r>
      <w:r w:rsidRPr="0016687E">
        <w:t>Acquisition a number of additions have been made to the provisions set out un</w:t>
      </w:r>
      <w:r w:rsidR="00A33571">
        <w:t xml:space="preserve">der Vanuatu laws as outlined in </w:t>
      </w:r>
      <w:r w:rsidRPr="0016687E">
        <w:t>section 3.3.1. This is to ensure consistency with the principles of the W</w:t>
      </w:r>
      <w:r w:rsidR="00A33571">
        <w:t xml:space="preserve">B and for reference by NAB when </w:t>
      </w:r>
      <w:r w:rsidRPr="0016687E">
        <w:t xml:space="preserve">preparing and implementing </w:t>
      </w:r>
      <w:r w:rsidR="0032404E">
        <w:t xml:space="preserve">Abbreviated Resettlement </w:t>
      </w:r>
      <w:proofErr w:type="gramStart"/>
      <w:r w:rsidR="0032404E">
        <w:t xml:space="preserve">Action </w:t>
      </w:r>
      <w:r w:rsidRPr="0016687E">
        <w:t xml:space="preserve"> Plans</w:t>
      </w:r>
      <w:proofErr w:type="gramEnd"/>
      <w:r w:rsidRPr="0016687E">
        <w:t xml:space="preserve"> </w:t>
      </w:r>
      <w:r w:rsidR="0032404E">
        <w:t xml:space="preserve">(ARAP) </w:t>
      </w:r>
      <w:r w:rsidRPr="0016687E">
        <w:t xml:space="preserve">as may be required by </w:t>
      </w:r>
      <w:r w:rsidR="00A33571">
        <w:t xml:space="preserve">this Project. The main gaps are </w:t>
      </w:r>
      <w:r w:rsidRPr="0016687E">
        <w:t>around scope of consultation with affected populations and scope of compens</w:t>
      </w:r>
      <w:r w:rsidR="00A33571">
        <w:t xml:space="preserve">ation. Table 4 below provides a </w:t>
      </w:r>
      <w:r w:rsidRPr="0016687E">
        <w:t>summary of the principles and policies that will apply to this Project in addition to</w:t>
      </w:r>
      <w:r w:rsidR="00A33571">
        <w:t xml:space="preserve"> the laws and practices of land </w:t>
      </w:r>
      <w:r w:rsidRPr="0016687E">
        <w:t>acquisition currently undertaken in Vanuatu.</w:t>
      </w:r>
    </w:p>
    <w:p w:rsidR="004E4E84" w:rsidRPr="00A33571" w:rsidRDefault="00A33571" w:rsidP="00C44943">
      <w:pPr>
        <w:tabs>
          <w:tab w:val="left" w:pos="916"/>
          <w:tab w:val="left" w:pos="1832"/>
          <w:tab w:val="left" w:pos="2748"/>
          <w:tab w:val="left" w:pos="3664"/>
          <w:tab w:val="center" w:pos="4680"/>
        </w:tabs>
        <w:spacing w:after="0" w:line="240" w:lineRule="auto"/>
        <w:rPr>
          <w:rFonts w:eastAsia="Times New Roman" w:cs="Arial"/>
          <w:b/>
          <w:szCs w:val="20"/>
        </w:rPr>
      </w:pPr>
      <w:r>
        <w:rPr>
          <w:rFonts w:eastAsia="Times New Roman" w:cs="Arial"/>
          <w:szCs w:val="20"/>
        </w:rPr>
        <w:tab/>
      </w:r>
      <w:r w:rsidR="004E4E84" w:rsidRPr="00A33571">
        <w:rPr>
          <w:rFonts w:eastAsia="Times New Roman" w:cs="Arial"/>
          <w:b/>
          <w:szCs w:val="20"/>
        </w:rPr>
        <w:t>Table 4     Applicable Resettlement Principles Additional To Vanuatu Laws</w:t>
      </w:r>
    </w:p>
    <w:tbl>
      <w:tblPr>
        <w:tblStyle w:val="TableGrid"/>
        <w:tblW w:w="9463" w:type="dxa"/>
        <w:tblLook w:val="04A0" w:firstRow="1" w:lastRow="0" w:firstColumn="1" w:lastColumn="0" w:noHBand="0" w:noVBand="1"/>
      </w:tblPr>
      <w:tblGrid>
        <w:gridCol w:w="1795"/>
        <w:gridCol w:w="22"/>
        <w:gridCol w:w="7646"/>
      </w:tblGrid>
      <w:tr w:rsidR="00A33571" w:rsidRPr="00A33571" w:rsidTr="008422C0">
        <w:tc>
          <w:tcPr>
            <w:tcW w:w="1795" w:type="dxa"/>
            <w:shd w:val="clear" w:color="auto" w:fill="CC0099"/>
          </w:tcPr>
          <w:p w:rsidR="00A33571" w:rsidRP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A33571">
              <w:rPr>
                <w:rFonts w:eastAsia="Times New Roman" w:cs="Arial"/>
                <w:b/>
                <w:color w:val="FFFFFF" w:themeColor="background1"/>
                <w:szCs w:val="20"/>
              </w:rPr>
              <w:t>Issue</w:t>
            </w:r>
          </w:p>
        </w:tc>
        <w:tc>
          <w:tcPr>
            <w:tcW w:w="7668" w:type="dxa"/>
            <w:gridSpan w:val="2"/>
            <w:shd w:val="clear" w:color="auto" w:fill="CC0099"/>
          </w:tcPr>
          <w:p w:rsidR="00A33571" w:rsidRP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A33571">
              <w:rPr>
                <w:rFonts w:eastAsia="Times New Roman" w:cs="Arial"/>
                <w:b/>
                <w:color w:val="FFFFFF" w:themeColor="background1"/>
                <w:szCs w:val="20"/>
              </w:rPr>
              <w:t>Policy / Procedure Adopted by Vanuatu9</w:t>
            </w:r>
          </w:p>
        </w:tc>
      </w:tr>
      <w:tr w:rsidR="00A33571" w:rsidRPr="00A33571" w:rsidTr="008422C0">
        <w:tc>
          <w:tcPr>
            <w:tcW w:w="1795" w:type="dxa"/>
          </w:tcPr>
          <w:p w:rsidR="00A33571" w:rsidRP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 xml:space="preserve">1. Consultation         </w:t>
            </w:r>
          </w:p>
        </w:tc>
        <w:tc>
          <w:tcPr>
            <w:tcW w:w="7668" w:type="dxa"/>
            <w:gridSpan w:val="2"/>
          </w:tcPr>
          <w:p w:rsid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 xml:space="preserve">1.1 Preparation of </w:t>
            </w:r>
            <w:r w:rsidR="0032404E">
              <w:rPr>
                <w:rFonts w:eastAsia="Times New Roman" w:cs="Arial"/>
                <w:szCs w:val="20"/>
              </w:rPr>
              <w:t>ARAP</w:t>
            </w:r>
            <w:r w:rsidRPr="00A33571">
              <w:rPr>
                <w:rFonts w:eastAsia="Times New Roman" w:cs="Arial"/>
                <w:szCs w:val="20"/>
              </w:rPr>
              <w:t xml:space="preserve"> and their implementation shall be carried out with</w:t>
            </w:r>
            <w:r>
              <w:rPr>
                <w:rFonts w:eastAsia="Times New Roman" w:cs="Arial"/>
                <w:szCs w:val="20"/>
              </w:rPr>
              <w:t xml:space="preserve"> </w:t>
            </w:r>
            <w:r w:rsidRPr="00A33571">
              <w:rPr>
                <w:rFonts w:eastAsia="Times New Roman" w:cs="Arial"/>
                <w:szCs w:val="20"/>
              </w:rPr>
              <w:t>the participation and consultation of affected people and the P</w:t>
            </w:r>
            <w:r w:rsidR="0032404E">
              <w:rPr>
                <w:rFonts w:eastAsia="Times New Roman" w:cs="Arial"/>
                <w:szCs w:val="20"/>
              </w:rPr>
              <w:t>M</w:t>
            </w:r>
            <w:r w:rsidRPr="00A33571">
              <w:rPr>
                <w:rFonts w:eastAsia="Times New Roman" w:cs="Arial"/>
                <w:szCs w:val="20"/>
              </w:rPr>
              <w:t>U supported by relevant</w:t>
            </w:r>
            <w:r>
              <w:rPr>
                <w:rFonts w:eastAsia="Times New Roman" w:cs="Arial"/>
                <w:szCs w:val="20"/>
              </w:rPr>
              <w:t xml:space="preserve"> </w:t>
            </w:r>
            <w:r w:rsidRPr="00A33571">
              <w:rPr>
                <w:rFonts w:eastAsia="Times New Roman" w:cs="Arial"/>
                <w:szCs w:val="20"/>
              </w:rPr>
              <w:t>government agencies should land acquisition prove necessary.</w:t>
            </w:r>
          </w:p>
          <w:p w:rsidR="00A33571" w:rsidRP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1.2 Affected populations will be systematically informed and consulted about the Project, the</w:t>
            </w:r>
            <w:r>
              <w:rPr>
                <w:rFonts w:eastAsia="Times New Roman" w:cs="Arial"/>
                <w:szCs w:val="20"/>
              </w:rPr>
              <w:t xml:space="preserve"> </w:t>
            </w:r>
            <w:r w:rsidRPr="00A33571">
              <w:rPr>
                <w:rFonts w:eastAsia="Times New Roman" w:cs="Arial"/>
                <w:szCs w:val="20"/>
              </w:rPr>
              <w:t>rights and options available to them and proposed mitigation measures</w:t>
            </w:r>
          </w:p>
        </w:tc>
      </w:tr>
      <w:tr w:rsidR="00A33571" w:rsidRPr="00A33571" w:rsidTr="008422C0">
        <w:tc>
          <w:tcPr>
            <w:tcW w:w="1817" w:type="dxa"/>
            <w:gridSpan w:val="2"/>
          </w:tcPr>
          <w:p w:rsidR="00A33571" w:rsidRPr="00A33571" w:rsidRDefault="00A33571"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2. </w:t>
            </w:r>
            <w:r w:rsidRPr="00A33571">
              <w:rPr>
                <w:rFonts w:eastAsia="Times New Roman" w:cs="Arial"/>
                <w:szCs w:val="20"/>
              </w:rPr>
              <w:t xml:space="preserve">Compensation         </w:t>
            </w:r>
          </w:p>
        </w:tc>
        <w:tc>
          <w:tcPr>
            <w:tcW w:w="7646" w:type="dxa"/>
          </w:tcPr>
          <w:p w:rsidR="00D92F03" w:rsidRDefault="00A33571"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 xml:space="preserve"> </w:t>
            </w:r>
            <w:r w:rsidR="00D92F03" w:rsidRPr="00A33571">
              <w:rPr>
                <w:rFonts w:eastAsia="Times New Roman" w:cs="Arial"/>
                <w:szCs w:val="20"/>
              </w:rPr>
              <w:t>2.1 Affected people shall be provided with compensation for their lost assets, incomes and</w:t>
            </w:r>
            <w:r w:rsidR="00D92F03">
              <w:rPr>
                <w:rFonts w:eastAsia="Times New Roman" w:cs="Arial"/>
                <w:szCs w:val="20"/>
              </w:rPr>
              <w:t xml:space="preserve"> </w:t>
            </w:r>
            <w:r w:rsidR="00D92F03" w:rsidRPr="00A33571">
              <w:rPr>
                <w:rFonts w:eastAsia="Times New Roman" w:cs="Arial"/>
                <w:szCs w:val="20"/>
              </w:rPr>
              <w:t>businesses, and provided with rehabilitation measures sufficient to assist them to improve or</w:t>
            </w:r>
            <w:r w:rsidR="00D92F03">
              <w:rPr>
                <w:rFonts w:eastAsia="Times New Roman" w:cs="Arial"/>
                <w:szCs w:val="20"/>
              </w:rPr>
              <w:t xml:space="preserve"> </w:t>
            </w:r>
            <w:r w:rsidR="00D92F03" w:rsidRPr="00A33571">
              <w:rPr>
                <w:rFonts w:eastAsia="Times New Roman" w:cs="Arial"/>
                <w:szCs w:val="20"/>
              </w:rPr>
              <w:t>at least maintain their pre-project standards, income levels and productive capacity</w:t>
            </w:r>
          </w:p>
          <w:p w:rsidR="00D92F03" w:rsidRDefault="00D92F03"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2.2 Affected land assets shall be replaced at their current market values, based on MLNR</w:t>
            </w:r>
            <w:r>
              <w:rPr>
                <w:rFonts w:eastAsia="Times New Roman" w:cs="Arial"/>
                <w:szCs w:val="20"/>
              </w:rPr>
              <w:t xml:space="preserve"> </w:t>
            </w:r>
            <w:r w:rsidRPr="00A33571">
              <w:rPr>
                <w:rFonts w:eastAsia="Times New Roman" w:cs="Arial"/>
                <w:szCs w:val="20"/>
              </w:rPr>
              <w:t>approval</w:t>
            </w:r>
          </w:p>
          <w:p w:rsidR="00D92F03" w:rsidRDefault="00D92F03"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2.3 Where significantly large or entire land holdings are affected by a project, the general</w:t>
            </w:r>
            <w:r>
              <w:rPr>
                <w:rFonts w:eastAsia="Times New Roman" w:cs="Arial"/>
                <w:szCs w:val="20"/>
              </w:rPr>
              <w:t xml:space="preserve"> </w:t>
            </w:r>
            <w:r w:rsidRPr="00A33571">
              <w:rPr>
                <w:rFonts w:eastAsia="Times New Roman" w:cs="Arial"/>
                <w:szCs w:val="20"/>
              </w:rPr>
              <w:t>mechanism for compensation for affected agriculture, residential or commercial land shall be</w:t>
            </w:r>
            <w:r>
              <w:rPr>
                <w:rFonts w:eastAsia="Times New Roman" w:cs="Arial"/>
                <w:szCs w:val="20"/>
              </w:rPr>
              <w:t xml:space="preserve"> </w:t>
            </w:r>
            <w:r w:rsidRPr="00A33571">
              <w:rPr>
                <w:rFonts w:eastAsia="Times New Roman" w:cs="Arial"/>
                <w:szCs w:val="20"/>
              </w:rPr>
              <w:t>through provision of ‘land for land’ arrangements of equivalent size and productivity and at</w:t>
            </w:r>
            <w:r>
              <w:rPr>
                <w:rFonts w:eastAsia="Times New Roman" w:cs="Arial"/>
                <w:szCs w:val="20"/>
              </w:rPr>
              <w:t xml:space="preserve"> </w:t>
            </w:r>
            <w:r w:rsidRPr="00A33571">
              <w:rPr>
                <w:rFonts w:eastAsia="Times New Roman" w:cs="Arial"/>
                <w:szCs w:val="20"/>
              </w:rPr>
              <w:t>location acceptable to the affected people if possible</w:t>
            </w:r>
          </w:p>
          <w:p w:rsidR="00D92F03" w:rsidRDefault="00D92F03"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2.4 If a house or other structure is only partially being affected by the Project and the</w:t>
            </w:r>
            <w:r>
              <w:rPr>
                <w:rFonts w:eastAsia="Times New Roman" w:cs="Arial"/>
                <w:szCs w:val="20"/>
              </w:rPr>
              <w:t xml:space="preserve"> </w:t>
            </w:r>
            <w:r w:rsidRPr="00A33571">
              <w:rPr>
                <w:rFonts w:eastAsia="Times New Roman" w:cs="Arial"/>
                <w:szCs w:val="20"/>
              </w:rPr>
              <w:t>remaining structure is rendered unviable for continued use or in area less than the minimum</w:t>
            </w:r>
            <w:r>
              <w:rPr>
                <w:rFonts w:eastAsia="Times New Roman" w:cs="Arial"/>
                <w:szCs w:val="20"/>
              </w:rPr>
              <w:t xml:space="preserve"> </w:t>
            </w:r>
            <w:r w:rsidRPr="00A33571">
              <w:rPr>
                <w:rFonts w:eastAsia="Times New Roman" w:cs="Arial"/>
                <w:szCs w:val="20"/>
              </w:rPr>
              <w:t>relevant structure size under the prevailing standards, the affected people shall be entitled to</w:t>
            </w:r>
            <w:r>
              <w:rPr>
                <w:rFonts w:eastAsia="Times New Roman" w:cs="Arial"/>
                <w:szCs w:val="20"/>
              </w:rPr>
              <w:t xml:space="preserve"> </w:t>
            </w:r>
            <w:r w:rsidRPr="00A33571">
              <w:rPr>
                <w:rFonts w:eastAsia="Times New Roman" w:cs="Arial"/>
                <w:szCs w:val="20"/>
              </w:rPr>
              <w:t>surrender the entire structure and to compensation for the entire structure at full replacement</w:t>
            </w:r>
            <w:r>
              <w:rPr>
                <w:rFonts w:eastAsia="Times New Roman" w:cs="Arial"/>
                <w:szCs w:val="20"/>
              </w:rPr>
              <w:t xml:space="preserve"> </w:t>
            </w:r>
            <w:r w:rsidRPr="00A33571">
              <w:rPr>
                <w:rFonts w:eastAsia="Times New Roman" w:cs="Arial"/>
                <w:szCs w:val="20"/>
              </w:rPr>
              <w:t>cost without depreciation or deductions for salvaged material</w:t>
            </w:r>
          </w:p>
          <w:p w:rsidR="00D92F03" w:rsidRDefault="00D92F03"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2.5 Affected people whose land or assets are temporarily taken by the works under the</w:t>
            </w:r>
            <w:r>
              <w:rPr>
                <w:rFonts w:eastAsia="Times New Roman" w:cs="Arial"/>
                <w:szCs w:val="20"/>
              </w:rPr>
              <w:t xml:space="preserve"> </w:t>
            </w:r>
            <w:r w:rsidRPr="00A33571">
              <w:rPr>
                <w:rFonts w:eastAsia="Times New Roman" w:cs="Arial"/>
                <w:szCs w:val="20"/>
              </w:rPr>
              <w:t>project shall be fully compensated for their net loss of income, damaged assets, crops and</w:t>
            </w:r>
            <w:r>
              <w:rPr>
                <w:rFonts w:eastAsia="Times New Roman" w:cs="Arial"/>
                <w:szCs w:val="20"/>
              </w:rPr>
              <w:t xml:space="preserve"> </w:t>
            </w:r>
            <w:r w:rsidRPr="00A33571">
              <w:rPr>
                <w:rFonts w:eastAsia="Times New Roman" w:cs="Arial"/>
                <w:szCs w:val="20"/>
              </w:rPr>
              <w:t>trees, as the case may be. The contractor shall also ensure that all temporarily acquired land</w:t>
            </w:r>
            <w:r>
              <w:rPr>
                <w:rFonts w:eastAsia="Times New Roman" w:cs="Arial"/>
                <w:szCs w:val="20"/>
              </w:rPr>
              <w:t xml:space="preserve"> </w:t>
            </w:r>
            <w:r w:rsidRPr="00A33571">
              <w:rPr>
                <w:rFonts w:eastAsia="Times New Roman" w:cs="Arial"/>
                <w:szCs w:val="20"/>
              </w:rPr>
              <w:t>and structures are returned in its pre-project state.</w:t>
            </w:r>
          </w:p>
          <w:p w:rsidR="00722B15" w:rsidRDefault="00722B15"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2.6 Compensation of affected populations dependent on agricultural, land and natural</w:t>
            </w:r>
            <w:r>
              <w:rPr>
                <w:rFonts w:eastAsia="Times New Roman" w:cs="Arial"/>
                <w:szCs w:val="20"/>
              </w:rPr>
              <w:t xml:space="preserve"> </w:t>
            </w:r>
            <w:r w:rsidRPr="00A33571">
              <w:rPr>
                <w:rFonts w:eastAsia="Times New Roman" w:cs="Arial"/>
                <w:szCs w:val="20"/>
              </w:rPr>
              <w:t>resource based activities will be land-based or access-based (for those who rely on</w:t>
            </w:r>
            <w:r>
              <w:rPr>
                <w:rFonts w:eastAsia="Times New Roman" w:cs="Arial"/>
                <w:szCs w:val="20"/>
              </w:rPr>
              <w:t xml:space="preserve"> </w:t>
            </w:r>
            <w:r w:rsidRPr="00A33571">
              <w:rPr>
                <w:rFonts w:eastAsia="Times New Roman" w:cs="Arial"/>
                <w:szCs w:val="20"/>
              </w:rPr>
              <w:t>traditional accessibility to marine-based livelihood) wherever possible</w:t>
            </w:r>
            <w:r>
              <w:rPr>
                <w:rFonts w:eastAsia="Times New Roman" w:cs="Arial"/>
                <w:szCs w:val="20"/>
              </w:rPr>
              <w:t>.</w:t>
            </w:r>
          </w:p>
          <w:p w:rsidR="00A33571" w:rsidRPr="00A33571" w:rsidRDefault="00722B15"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2.7 Affected populations that stand to lose only part of their physical assets will not be left</w:t>
            </w:r>
            <w:r>
              <w:rPr>
                <w:rFonts w:eastAsia="Times New Roman" w:cs="Arial"/>
                <w:szCs w:val="20"/>
              </w:rPr>
              <w:t xml:space="preserve"> </w:t>
            </w:r>
            <w:r w:rsidRPr="00A33571">
              <w:rPr>
                <w:rFonts w:eastAsia="Times New Roman" w:cs="Arial"/>
                <w:szCs w:val="20"/>
              </w:rPr>
              <w:t>with a proportion that will be inadequate to sustain their current standard and convenience of</w:t>
            </w:r>
            <w:r>
              <w:rPr>
                <w:rFonts w:eastAsia="Times New Roman" w:cs="Arial"/>
                <w:szCs w:val="20"/>
              </w:rPr>
              <w:t xml:space="preserve"> </w:t>
            </w:r>
            <w:r w:rsidRPr="00A33571">
              <w:rPr>
                <w:rFonts w:eastAsia="Times New Roman" w:cs="Arial"/>
                <w:szCs w:val="20"/>
              </w:rPr>
              <w:t>living, such minimum size being identified and agreed during the resettlement planning</w:t>
            </w:r>
            <w:r>
              <w:rPr>
                <w:rFonts w:eastAsia="Times New Roman" w:cs="Arial"/>
                <w:szCs w:val="20"/>
              </w:rPr>
              <w:t xml:space="preserve"> </w:t>
            </w:r>
            <w:r w:rsidRPr="00A33571">
              <w:rPr>
                <w:rFonts w:eastAsia="Times New Roman" w:cs="Arial"/>
                <w:szCs w:val="20"/>
              </w:rPr>
              <w:t>process</w:t>
            </w:r>
            <w:r>
              <w:rPr>
                <w:rFonts w:eastAsia="Times New Roman" w:cs="Arial"/>
                <w:szCs w:val="20"/>
              </w:rPr>
              <w:t>.</w:t>
            </w:r>
          </w:p>
        </w:tc>
      </w:tr>
      <w:tr w:rsidR="00A33571" w:rsidRPr="00A33571" w:rsidTr="008422C0">
        <w:tc>
          <w:tcPr>
            <w:tcW w:w="1795" w:type="dxa"/>
          </w:tcPr>
          <w:p w:rsidR="00A33571" w:rsidRPr="00A33571" w:rsidRDefault="00D92F03" w:rsidP="00AE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3. </w:t>
            </w:r>
            <w:r w:rsidRPr="00A33571">
              <w:rPr>
                <w:rFonts w:eastAsia="Times New Roman" w:cs="Arial"/>
                <w:szCs w:val="20"/>
              </w:rPr>
              <w:t xml:space="preserve">Government </w:t>
            </w:r>
            <w:r>
              <w:rPr>
                <w:rFonts w:eastAsia="Times New Roman" w:cs="Arial"/>
                <w:szCs w:val="20"/>
              </w:rPr>
              <w:t>Planning</w:t>
            </w:r>
            <w:r w:rsidRPr="00A33571">
              <w:rPr>
                <w:rFonts w:eastAsia="Times New Roman" w:cs="Arial"/>
                <w:szCs w:val="20"/>
              </w:rPr>
              <w:t xml:space="preserve">          </w:t>
            </w:r>
          </w:p>
        </w:tc>
        <w:tc>
          <w:tcPr>
            <w:tcW w:w="7668" w:type="dxa"/>
            <w:gridSpan w:val="2"/>
          </w:tcPr>
          <w:p w:rsidR="00722B15" w:rsidRDefault="00722B15"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3.1 Clear budget commitments are required for critical activities such as formal detailed</w:t>
            </w:r>
            <w:r>
              <w:rPr>
                <w:rFonts w:eastAsia="Times New Roman" w:cs="Arial"/>
                <w:szCs w:val="20"/>
              </w:rPr>
              <w:t xml:space="preserve"> </w:t>
            </w:r>
            <w:r w:rsidRPr="00A33571">
              <w:rPr>
                <w:rFonts w:eastAsia="Times New Roman" w:cs="Arial"/>
                <w:szCs w:val="20"/>
              </w:rPr>
              <w:t>physical surveys and administrative functions associated with compensation</w:t>
            </w:r>
            <w:r>
              <w:rPr>
                <w:rFonts w:eastAsia="Times New Roman" w:cs="Arial"/>
                <w:szCs w:val="20"/>
              </w:rPr>
              <w:t>.</w:t>
            </w:r>
          </w:p>
          <w:p w:rsidR="00722B15" w:rsidRDefault="00722B15"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3.2 Community facilitates and infrastructure damaged due to the Project shall be restored or</w:t>
            </w:r>
            <w:r>
              <w:rPr>
                <w:rFonts w:eastAsia="Times New Roman" w:cs="Arial"/>
                <w:szCs w:val="20"/>
              </w:rPr>
              <w:t xml:space="preserve"> </w:t>
            </w:r>
            <w:r w:rsidRPr="00A33571">
              <w:rPr>
                <w:rFonts w:eastAsia="Times New Roman" w:cs="Arial"/>
                <w:szCs w:val="20"/>
              </w:rPr>
              <w:t>repaired as the case may be, at no cost to the community</w:t>
            </w:r>
            <w:r>
              <w:rPr>
                <w:rFonts w:eastAsia="Times New Roman" w:cs="Arial"/>
                <w:szCs w:val="20"/>
              </w:rPr>
              <w:t>.</w:t>
            </w:r>
          </w:p>
          <w:p w:rsidR="00A33571" w:rsidRPr="00A33571" w:rsidRDefault="00A33571" w:rsidP="00A3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A33571">
              <w:rPr>
                <w:rFonts w:eastAsia="Times New Roman" w:cs="Arial"/>
                <w:szCs w:val="20"/>
              </w:rPr>
              <w:t xml:space="preserve">                        </w:t>
            </w:r>
          </w:p>
        </w:tc>
      </w:tr>
    </w:tbl>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024E8E" w:rsidRDefault="004E4E84" w:rsidP="008422C0">
      <w:pPr>
        <w:pStyle w:val="Heading1"/>
      </w:pPr>
      <w:bookmarkStart w:id="23" w:name="_Toc483323537"/>
      <w:r w:rsidRPr="00024E8E">
        <w:lastRenderedPageBreak/>
        <w:t>Land Acquisition Procedures</w:t>
      </w:r>
      <w:bookmarkEnd w:id="23"/>
    </w:p>
    <w:p w:rsidR="004E4E84" w:rsidRPr="00722B15" w:rsidRDefault="004E4E84" w:rsidP="001644CF">
      <w:pPr>
        <w:pStyle w:val="Heading2"/>
      </w:pPr>
      <w:bookmarkStart w:id="24" w:name="_Toc483323538"/>
      <w:r w:rsidRPr="00722B15">
        <w:t xml:space="preserve">Preparation of the </w:t>
      </w:r>
      <w:r w:rsidR="0032404E">
        <w:t>Abbreviated Resettlement Action Plans (ARAP)</w:t>
      </w:r>
      <w:bookmarkEnd w:id="24"/>
    </w:p>
    <w:p w:rsidR="004E4E84" w:rsidRDefault="004E4E84" w:rsidP="00C44943">
      <w:r w:rsidRPr="0016687E">
        <w:t xml:space="preserve">The </w:t>
      </w:r>
      <w:r w:rsidR="0032404E">
        <w:t xml:space="preserve">PMU </w:t>
      </w:r>
      <w:r w:rsidRPr="0016687E">
        <w:t xml:space="preserve">for the NAB will be responsible for preparing the </w:t>
      </w:r>
      <w:r w:rsidR="0032404E">
        <w:t>ARAP</w:t>
      </w:r>
      <w:r w:rsidRPr="0016687E">
        <w:t xml:space="preserve"> in consultation with</w:t>
      </w:r>
      <w:r w:rsidR="0032404E">
        <w:t xml:space="preserve"> </w:t>
      </w:r>
      <w:r w:rsidRPr="0016687E">
        <w:t xml:space="preserve">MLNR, MAQFF and other stakeholders. The severity of impact will determine the </w:t>
      </w:r>
      <w:r w:rsidR="00722B15">
        <w:t xml:space="preserve">level of LAP required. In order </w:t>
      </w:r>
      <w:r w:rsidRPr="0016687E">
        <w:t>for the scope, magnitude and budget of potential impacts of resettlement and land</w:t>
      </w:r>
      <w:r w:rsidR="00722B15">
        <w:t xml:space="preserve"> acquisition in relation to the </w:t>
      </w:r>
      <w:r w:rsidRPr="0016687E">
        <w:t>Project interventions to be calculated, the processes outlined in this section w</w:t>
      </w:r>
      <w:r w:rsidR="00722B15">
        <w:t xml:space="preserve">ill be followed, along with all </w:t>
      </w:r>
      <w:r w:rsidRPr="0016687E">
        <w:t xml:space="preserve">conditions set out under this </w:t>
      </w:r>
      <w:r w:rsidR="0032404E">
        <w:t>LPF</w:t>
      </w:r>
      <w:r w:rsidRPr="0016687E">
        <w:t>. Following initial assessment and screenin</w:t>
      </w:r>
      <w:r w:rsidR="00722B15">
        <w:t xml:space="preserve">g in order to avoid or minimize </w:t>
      </w:r>
      <w:r w:rsidRPr="0016687E">
        <w:t xml:space="preserve">impacts, the </w:t>
      </w:r>
      <w:r w:rsidR="0032404E">
        <w:t>ARAP</w:t>
      </w:r>
      <w:r w:rsidRPr="0016687E">
        <w:t xml:space="preserve"> will be developed which identifies, as a minimum, the following:</w:t>
      </w:r>
    </w:p>
    <w:p w:rsidR="004E4E84" w:rsidRPr="0016687E" w:rsidRDefault="004E4E84" w:rsidP="00C44943">
      <w:r w:rsidRPr="0016687E">
        <w:t>-       A census survey of displaced persons and valuation of assets;</w:t>
      </w:r>
    </w:p>
    <w:p w:rsidR="004E4E84" w:rsidRPr="0016687E" w:rsidRDefault="004E4E84" w:rsidP="00C44943">
      <w:r w:rsidRPr="0016687E">
        <w:t>-       Description of compensation and other assistance to be provided;</w:t>
      </w:r>
    </w:p>
    <w:p w:rsidR="004E4E84" w:rsidRPr="0016687E" w:rsidRDefault="004E4E84" w:rsidP="00C44943">
      <w:r w:rsidRPr="0016687E">
        <w:t>-       Institutional responsibility for implementation and procedures for grievance redress;</w:t>
      </w:r>
    </w:p>
    <w:p w:rsidR="004E4E84" w:rsidRPr="0016687E" w:rsidRDefault="004E4E84" w:rsidP="00C44943">
      <w:r w:rsidRPr="0016687E">
        <w:t>-       Arrangements for monitoring and implementation; and</w:t>
      </w:r>
    </w:p>
    <w:p w:rsidR="004E4E84" w:rsidRDefault="004E4E84" w:rsidP="00C44943">
      <w:r w:rsidRPr="0016687E">
        <w:t>-       A timetable and budget.</w:t>
      </w:r>
    </w:p>
    <w:p w:rsidR="00722B15" w:rsidRDefault="004E4E84" w:rsidP="00C44943">
      <w:r w:rsidRPr="0016687E">
        <w:t xml:space="preserve">Key elements required in </w:t>
      </w:r>
      <w:r w:rsidR="0032404E">
        <w:t xml:space="preserve">ARAP </w:t>
      </w:r>
      <w:r w:rsidRPr="0016687E">
        <w:t>are further detailed be</w:t>
      </w:r>
      <w:r w:rsidR="00722B15">
        <w:t xml:space="preserve">low and in Appendix E – Outline </w:t>
      </w:r>
      <w:r w:rsidRPr="0016687E">
        <w:t xml:space="preserve">of </w:t>
      </w:r>
      <w:r w:rsidR="001644CF">
        <w:t>Abbreviated Resettlement Action Plan</w:t>
      </w:r>
      <w:r w:rsidRPr="0016687E">
        <w:t>:</w:t>
      </w:r>
    </w:p>
    <w:p w:rsidR="004E4E84" w:rsidRPr="00C44943" w:rsidRDefault="004E4E84" w:rsidP="00C44943">
      <w:pPr>
        <w:rPr>
          <w:b/>
        </w:rPr>
      </w:pPr>
      <w:r w:rsidRPr="00C44943">
        <w:rPr>
          <w:b/>
        </w:rPr>
        <w:t>Screening</w:t>
      </w:r>
    </w:p>
    <w:p w:rsidR="004E4E84" w:rsidRDefault="004E4E84" w:rsidP="00C44943">
      <w:r w:rsidRPr="0016687E">
        <w:t xml:space="preserve">Impacted areas will require screening for land acquisition impacts. A screening </w:t>
      </w:r>
      <w:r w:rsidR="00722B15">
        <w:t xml:space="preserve">form (see sample forms Appendix </w:t>
      </w:r>
      <w:r w:rsidRPr="0016687E">
        <w:t>A –Checklist of Land Acquisition Impacts) should be used at the time of detailed desig</w:t>
      </w:r>
      <w:r w:rsidR="00722B15">
        <w:t xml:space="preserve">n in each area after site visit </w:t>
      </w:r>
      <w:r w:rsidRPr="0016687E">
        <w:t>and initial consultations with potentially affected communities and businesses. This</w:t>
      </w:r>
      <w:r w:rsidR="00722B15">
        <w:t xml:space="preserve"> screening form will reflect if </w:t>
      </w:r>
      <w:r w:rsidRPr="0016687E">
        <w:t>there are any land acquisition impacts that will need to be considered in engineer</w:t>
      </w:r>
      <w:r w:rsidR="00722B15">
        <w:t xml:space="preserve">ing design to avoid or minimize </w:t>
      </w:r>
      <w:r w:rsidRPr="0016687E">
        <w:t>impacts, and to determine if land acquisition Planning processes are triggered, where land acqu</w:t>
      </w:r>
      <w:r w:rsidR="00722B15">
        <w:t xml:space="preserve">isition cannot be </w:t>
      </w:r>
      <w:r w:rsidRPr="0016687E">
        <w:t>avoided. Where screening identifies that a subproject will require land/acquisit</w:t>
      </w:r>
      <w:r w:rsidR="00722B15">
        <w:t xml:space="preserve">ion, a socioeconomic assessment </w:t>
      </w:r>
      <w:r w:rsidRPr="0016687E">
        <w:t>will need to be conducted.</w:t>
      </w:r>
    </w:p>
    <w:p w:rsidR="004E4E84" w:rsidRPr="00722B15" w:rsidRDefault="004E4E84" w:rsidP="00C44943">
      <w:pPr>
        <w:rPr>
          <w:b/>
        </w:rPr>
      </w:pPr>
      <w:r w:rsidRPr="00722B15">
        <w:rPr>
          <w:b/>
        </w:rPr>
        <w:t>Socio-economic Survey</w:t>
      </w:r>
    </w:p>
    <w:p w:rsidR="004E4E84" w:rsidRDefault="004E4E84" w:rsidP="00C44943">
      <w:r w:rsidRPr="0016687E">
        <w:t xml:space="preserve">A socio-economic survey of the affected persons is required in areas where land </w:t>
      </w:r>
      <w:r w:rsidR="00722B15">
        <w:t xml:space="preserve">acquisition is likely. The data </w:t>
      </w:r>
      <w:r w:rsidRPr="0016687E">
        <w:t xml:space="preserve">collected will assist in identifying the social impacts from land acquisition on the </w:t>
      </w:r>
      <w:r w:rsidR="00722B15">
        <w:t xml:space="preserve">affected persons by documenting </w:t>
      </w:r>
      <w:r w:rsidRPr="0016687E">
        <w:t>the poverty and social conditions of persons affected by the project, and identify vulner</w:t>
      </w:r>
      <w:r w:rsidR="00722B15">
        <w:t xml:space="preserve">able groups needing </w:t>
      </w:r>
      <w:r w:rsidRPr="0016687E">
        <w:t>additional assistance. The information will be used for determining rehabilita</w:t>
      </w:r>
      <w:r w:rsidR="00722B15">
        <w:t xml:space="preserve">tion measures necessary for the </w:t>
      </w:r>
      <w:r w:rsidRPr="0016687E">
        <w:t xml:space="preserve">restoration of affected </w:t>
      </w:r>
      <w:r w:rsidR="00722B15" w:rsidRPr="0016687E">
        <w:t>person’s</w:t>
      </w:r>
      <w:r w:rsidRPr="0016687E">
        <w:t xml:space="preserve"> livelihoods to the same or better standard following implementation of the project.</w:t>
      </w:r>
    </w:p>
    <w:p w:rsidR="004E4E84" w:rsidRPr="00722B15" w:rsidRDefault="004E4E84" w:rsidP="00C44943">
      <w:pPr>
        <w:rPr>
          <w:b/>
        </w:rPr>
      </w:pPr>
      <w:r w:rsidRPr="00722B15">
        <w:rPr>
          <w:b/>
        </w:rPr>
        <w:t>Census and Inventory of Losses</w:t>
      </w:r>
    </w:p>
    <w:p w:rsidR="004E4E84" w:rsidRDefault="004E4E84" w:rsidP="00C44943">
      <w:r w:rsidRPr="00C44943">
        <w:t>A Census of affected persons including inventory of losses and basic socio-econo</w:t>
      </w:r>
      <w:r w:rsidR="00722B15" w:rsidRPr="00C44943">
        <w:t xml:space="preserve">mic information for all DP’s at </w:t>
      </w:r>
      <w:r w:rsidRPr="00C44943">
        <w:t>household level will be undertaken. The inventory of losses will cover the value of impacted land, structure</w:t>
      </w:r>
      <w:r w:rsidR="00722B15" w:rsidRPr="00C44943">
        <w:t xml:space="preserve">s, </w:t>
      </w:r>
      <w:r w:rsidRPr="00C44943">
        <w:t>business/livelihoods and assets (see sample forms in Appendix B –Inventory of</w:t>
      </w:r>
      <w:r w:rsidR="00722B15" w:rsidRPr="00C44943">
        <w:t xml:space="preserve"> Displaced Persons and Assets). </w:t>
      </w:r>
      <w:r w:rsidRPr="00C44943">
        <w:t xml:space="preserve">The ‘cut-off’ date for the </w:t>
      </w:r>
      <w:r w:rsidR="001644CF" w:rsidRPr="00C44943">
        <w:t>ARAP</w:t>
      </w:r>
      <w:r w:rsidRPr="00C44943">
        <w:t xml:space="preserve"> will be the date when the inventory </w:t>
      </w:r>
      <w:r w:rsidR="00722B15" w:rsidRPr="00C44943">
        <w:t xml:space="preserve">of affected people is completed </w:t>
      </w:r>
      <w:r w:rsidRPr="00C44943">
        <w:t xml:space="preserve">and set out in the </w:t>
      </w:r>
      <w:r w:rsidR="00F44690" w:rsidRPr="00C44943">
        <w:t>ARAP</w:t>
      </w:r>
      <w:r w:rsidRPr="00C44943">
        <w:t>. Any encroachers after that cut-off date will not be includ</w:t>
      </w:r>
      <w:r w:rsidR="00722B15" w:rsidRPr="00C44943">
        <w:t xml:space="preserve">ed in the compensation process, </w:t>
      </w:r>
      <w:r w:rsidRPr="00C44943">
        <w:t>unless there has been a clear change in scope of design of the project, leading to</w:t>
      </w:r>
      <w:r w:rsidR="00722B15" w:rsidRPr="00C44943">
        <w:t xml:space="preserve"> the requirement for an updated </w:t>
      </w:r>
      <w:r w:rsidRPr="00C44943">
        <w:t>plan</w:t>
      </w:r>
      <w:r w:rsidRPr="0016687E">
        <w:t>.</w:t>
      </w:r>
    </w:p>
    <w:p w:rsidR="004E4E84" w:rsidRPr="00C44943" w:rsidRDefault="004E4E84" w:rsidP="00C44943">
      <w:pPr>
        <w:rPr>
          <w:b/>
        </w:rPr>
      </w:pPr>
      <w:r w:rsidRPr="00C44943">
        <w:rPr>
          <w:b/>
        </w:rPr>
        <w:t>Funding and Compensation</w:t>
      </w:r>
    </w:p>
    <w:p w:rsidR="004E4E84" w:rsidRPr="0016687E" w:rsidRDefault="004E4E84" w:rsidP="00C44943">
      <w:r w:rsidRPr="0016687E">
        <w:lastRenderedPageBreak/>
        <w:t>The inventory of losses will be used to determine losses and scope for entitlem</w:t>
      </w:r>
      <w:r w:rsidR="00722B15">
        <w:t xml:space="preserve">ent as well as the magnitude of </w:t>
      </w:r>
      <w:r w:rsidRPr="0016687E">
        <w:t>social impact on the affected persons household. It can also be used to determine compensation entitlements</w:t>
      </w:r>
      <w:r w:rsidR="00722B15">
        <w:t xml:space="preserve"> </w:t>
      </w:r>
      <w:r w:rsidRPr="0016687E">
        <w:t>using the Entitlement Matrix. Affected areas will be known by this time, so a list of affected people including an</w:t>
      </w:r>
      <w:r w:rsidR="00722B15">
        <w:t xml:space="preserve"> </w:t>
      </w:r>
      <w:r w:rsidRPr="0016687E">
        <w:t>inventory of losses will be formulated and budget prepared. Final budget o</w:t>
      </w:r>
      <w:r w:rsidR="00722B15">
        <w:t xml:space="preserve">f compensation must be based on </w:t>
      </w:r>
      <w:r w:rsidRPr="0016687E">
        <w:t xml:space="preserve">consultation with the affected persons (or a representative) and the </w:t>
      </w:r>
      <w:r w:rsidR="00F44690">
        <w:t>PMU</w:t>
      </w:r>
      <w:r w:rsidRPr="0016687E">
        <w:t xml:space="preserve"> for the </w:t>
      </w:r>
      <w:r w:rsidR="00722B15">
        <w:t xml:space="preserve">NAB, MLNR and other relevant </w:t>
      </w:r>
      <w:r w:rsidRPr="0016687E">
        <w:t>stakeholders.</w:t>
      </w:r>
    </w:p>
    <w:p w:rsidR="004E4E84" w:rsidRPr="00C44943" w:rsidRDefault="004E4E84" w:rsidP="00C44943">
      <w:pPr>
        <w:rPr>
          <w:b/>
        </w:rPr>
      </w:pPr>
      <w:r w:rsidRPr="00C44943">
        <w:rPr>
          <w:b/>
        </w:rPr>
        <w:t>Consultation and Disclosure</w:t>
      </w:r>
    </w:p>
    <w:p w:rsidR="004E4E84" w:rsidRDefault="004E4E84" w:rsidP="00C44943">
      <w:r w:rsidRPr="0016687E">
        <w:t>Consultation with both the community and Government is an essential part o</w:t>
      </w:r>
      <w:r w:rsidR="00722B15">
        <w:t xml:space="preserve">f the land acquisition scoping, </w:t>
      </w:r>
      <w:r w:rsidRPr="0016687E">
        <w:t xml:space="preserve">planning and implementation process. </w:t>
      </w:r>
      <w:r w:rsidR="00F44690">
        <w:t>ARAPs</w:t>
      </w:r>
      <w:r w:rsidRPr="0016687E">
        <w:t xml:space="preserve"> should be developed in consultation </w:t>
      </w:r>
      <w:r w:rsidR="00722B15">
        <w:t xml:space="preserve">with the affected persons, host </w:t>
      </w:r>
      <w:r w:rsidRPr="0016687E">
        <w:t>area community (if relocation is required) and the relevant Government agencie</w:t>
      </w:r>
      <w:r w:rsidR="00722B15">
        <w:t xml:space="preserve">s. Records of all consultations </w:t>
      </w:r>
      <w:r w:rsidRPr="0016687E">
        <w:t>with affected communities and people, host communities, NGOs and m</w:t>
      </w:r>
      <w:r w:rsidR="00722B15">
        <w:t xml:space="preserve">ass </w:t>
      </w:r>
      <w:proofErr w:type="spellStart"/>
      <w:r w:rsidR="00722B15">
        <w:t>organisations</w:t>
      </w:r>
      <w:proofErr w:type="spellEnd"/>
      <w:r w:rsidR="00722B15">
        <w:t xml:space="preserve">, and relevant </w:t>
      </w:r>
      <w:r w:rsidRPr="0016687E">
        <w:t>government agencies should be documented (see sample forms in Appen</w:t>
      </w:r>
      <w:r w:rsidR="00722B15">
        <w:t xml:space="preserve">dix F –Template for Documenting </w:t>
      </w:r>
      <w:r w:rsidRPr="0016687E">
        <w:t>Public Consultation Meeting). A record of agencies, Community and affected persons consulted and iss</w:t>
      </w:r>
      <w:r w:rsidR="00722B15">
        <w:t xml:space="preserve">ues </w:t>
      </w:r>
      <w:r w:rsidRPr="0016687E">
        <w:t xml:space="preserve">discussed should be kept and included in the </w:t>
      </w:r>
      <w:r w:rsidR="00F44690">
        <w:t>ARAP</w:t>
      </w:r>
      <w:r w:rsidRPr="0016687E">
        <w:t>. Further detail on the Con</w:t>
      </w:r>
      <w:r w:rsidR="00054FF8">
        <w:t xml:space="preserve">sultation Process and Grievance </w:t>
      </w:r>
      <w:r w:rsidRPr="0016687E">
        <w:t xml:space="preserve">Procedures is outlined in other sections of this </w:t>
      </w:r>
      <w:r w:rsidR="00F44690">
        <w:t>RPF</w:t>
      </w:r>
      <w:r w:rsidRPr="0016687E">
        <w:t>.</w:t>
      </w:r>
    </w:p>
    <w:p w:rsidR="004E4E84" w:rsidRPr="00C44943" w:rsidRDefault="004E4E84" w:rsidP="00C44943">
      <w:pPr>
        <w:rPr>
          <w:b/>
        </w:rPr>
      </w:pPr>
      <w:r w:rsidRPr="00C44943">
        <w:rPr>
          <w:b/>
        </w:rPr>
        <w:t>Database and Information Management</w:t>
      </w:r>
    </w:p>
    <w:p w:rsidR="004E4E84" w:rsidRPr="0016687E" w:rsidRDefault="004E4E84" w:rsidP="00C44943">
      <w:r w:rsidRPr="0016687E">
        <w:t>All information concerning resettlement issues related to land acquisition, s</w:t>
      </w:r>
      <w:r w:rsidR="00054FF8">
        <w:t xml:space="preserve">ocioeconomic information of the </w:t>
      </w:r>
      <w:r w:rsidRPr="0016687E">
        <w:t>affected land, structures, inventory of losses by individual affected person, compen</w:t>
      </w:r>
      <w:r w:rsidR="00054FF8">
        <w:t xml:space="preserve">sation and entitlements will be </w:t>
      </w:r>
      <w:r w:rsidRPr="0016687E">
        <w:t xml:space="preserve">entered onto a computer database by the </w:t>
      </w:r>
      <w:r w:rsidR="00F44690">
        <w:t>PMU</w:t>
      </w:r>
      <w:r w:rsidRPr="0016687E">
        <w:t xml:space="preserve"> for the NAB. This database will fo</w:t>
      </w:r>
      <w:r w:rsidR="00054FF8">
        <w:t xml:space="preserve">rm the basis of information for </w:t>
      </w:r>
      <w:r w:rsidRPr="0016687E">
        <w:t>implementation, monitoring and reporting purposes and facilitate efficie</w:t>
      </w:r>
      <w:r w:rsidR="00054FF8">
        <w:t xml:space="preserve">nt management and monitoring of </w:t>
      </w:r>
      <w:r w:rsidRPr="0016687E">
        <w:t>compensation distribution. The affected persons will be required to sign (a fing</w:t>
      </w:r>
      <w:r w:rsidR="00054FF8">
        <w:t xml:space="preserve">er-print will also suffice) the </w:t>
      </w:r>
      <w:r w:rsidRPr="0016687E">
        <w:t>inventory of losses form prepared and a Payments ID form at time of compensatio</w:t>
      </w:r>
      <w:r w:rsidR="00054FF8">
        <w:t xml:space="preserve">n distribution. The payments ID </w:t>
      </w:r>
      <w:r w:rsidRPr="0016687E">
        <w:t>form will contain particulars of the census of losses and the agreed compensati</w:t>
      </w:r>
      <w:r w:rsidR="00054FF8">
        <w:t xml:space="preserve">on amount to be provided to the </w:t>
      </w:r>
      <w:r w:rsidRPr="0016687E">
        <w:t>particular displaced person (see sample forms in Appendix C for Volunt</w:t>
      </w:r>
      <w:r w:rsidR="00054FF8">
        <w:t xml:space="preserve">ary Donation and Appendix D for </w:t>
      </w:r>
      <w:r w:rsidRPr="0016687E">
        <w:t>Agreement for Compensation).</w:t>
      </w:r>
    </w:p>
    <w:p w:rsidR="00C44943" w:rsidRPr="00C44943" w:rsidRDefault="004E4E84" w:rsidP="00C44943">
      <w:pPr>
        <w:pStyle w:val="Heading2"/>
        <w:rPr>
          <w:szCs w:val="20"/>
        </w:rPr>
      </w:pPr>
      <w:bookmarkStart w:id="25" w:name="_Toc483323539"/>
      <w:r w:rsidRPr="00024E8E">
        <w:t xml:space="preserve">Implementation of the </w:t>
      </w:r>
      <w:r w:rsidR="00F44690">
        <w:t>Abbreviated Resettlement Action Plans</w:t>
      </w:r>
      <w:bookmarkEnd w:id="25"/>
    </w:p>
    <w:p w:rsidR="004E4E84" w:rsidRPr="00054FF8" w:rsidRDefault="004E4E84" w:rsidP="00C44943">
      <w:pPr>
        <w:pStyle w:val="Heading3"/>
      </w:pPr>
      <w:r w:rsidRPr="00054FF8">
        <w:t>Institutional Arrangements</w:t>
      </w:r>
    </w:p>
    <w:p w:rsidR="004E4E84" w:rsidRPr="0016687E" w:rsidRDefault="004E4E84" w:rsidP="00C44943">
      <w:r w:rsidRPr="0016687E">
        <w:t xml:space="preserve">The </w:t>
      </w:r>
      <w:r w:rsidR="00F44690">
        <w:t>PMU</w:t>
      </w:r>
      <w:r w:rsidRPr="0016687E">
        <w:t xml:space="preserve"> will have the responsibility for:</w:t>
      </w:r>
    </w:p>
    <w:p w:rsidR="004E4E84" w:rsidRPr="0016687E" w:rsidRDefault="004E4E84" w:rsidP="00C44943">
      <w:r w:rsidRPr="0016687E">
        <w:t xml:space="preserve">-       Preparing the </w:t>
      </w:r>
      <w:r w:rsidR="00F44690">
        <w:t>abbreviated resettlement action plan</w:t>
      </w:r>
      <w:r w:rsidRPr="0016687E">
        <w:t>, based on the detailed design of the pro</w:t>
      </w:r>
      <w:r w:rsidR="00054FF8">
        <w:t xml:space="preserve">ject component that may   involve </w:t>
      </w:r>
      <w:r w:rsidRPr="0016687E">
        <w:t>land acquisition impacts, prior to construction commencement.</w:t>
      </w:r>
    </w:p>
    <w:p w:rsidR="004E4E84" w:rsidRPr="0016687E" w:rsidRDefault="004E4E84" w:rsidP="00C44943">
      <w:r w:rsidRPr="0016687E">
        <w:t>-       Coordinating with relevant government agencies such as the MLNR regard</w:t>
      </w:r>
      <w:r w:rsidR="00054FF8">
        <w:t xml:space="preserve">ing land ownerships, titles and </w:t>
      </w:r>
      <w:r w:rsidRPr="0016687E">
        <w:t>compensations.</w:t>
      </w:r>
    </w:p>
    <w:p w:rsidR="004E4E84" w:rsidRDefault="004E4E84" w:rsidP="00C44943">
      <w:r w:rsidRPr="0016687E">
        <w:t>-       Preparing an internal monitoring report to be submitted to the WB confi</w:t>
      </w:r>
      <w:r w:rsidR="00054FF8">
        <w:t xml:space="preserve">rming compliance with WB OP4.12 </w:t>
      </w:r>
      <w:r w:rsidRPr="0016687E">
        <w:t>and associated policies and measures.</w:t>
      </w:r>
    </w:p>
    <w:p w:rsidR="004E4E84" w:rsidRPr="00C44943" w:rsidRDefault="004E4E84" w:rsidP="00C44943">
      <w:pPr>
        <w:rPr>
          <w:b/>
        </w:rPr>
      </w:pPr>
      <w:r w:rsidRPr="00C44943">
        <w:rPr>
          <w:b/>
        </w:rPr>
        <w:t>Provision of Compensation</w:t>
      </w:r>
    </w:p>
    <w:p w:rsidR="00054FF8" w:rsidRDefault="004E4E84" w:rsidP="00C44943">
      <w:r w:rsidRPr="0016687E">
        <w:t>When the LP is prepared through identification of specific impacts and compensat</w:t>
      </w:r>
      <w:r w:rsidR="00054FF8">
        <w:t xml:space="preserve">ion costs, the affected persons </w:t>
      </w:r>
      <w:r w:rsidRPr="0016687E">
        <w:t>will sign a document signifying their satisfaction on the compensation arrangeme</w:t>
      </w:r>
      <w:r w:rsidR="00054FF8">
        <w:t xml:space="preserve">nt. The </w:t>
      </w:r>
      <w:r w:rsidR="004477B7">
        <w:t>PMU</w:t>
      </w:r>
      <w:r w:rsidR="00054FF8">
        <w:t xml:space="preserve"> will prepare a pro-</w:t>
      </w:r>
      <w:r w:rsidRPr="0016687E">
        <w:t>forma document to be used for the settlement of obligation in land acquisiti</w:t>
      </w:r>
      <w:r w:rsidR="00054FF8">
        <w:t xml:space="preserve">on and compensation (see sample </w:t>
      </w:r>
      <w:r w:rsidRPr="0016687E">
        <w:t>forms in Appendix C, D and F). Disbursement of cash will follow the approval of</w:t>
      </w:r>
      <w:r w:rsidR="00054FF8">
        <w:t xml:space="preserve"> budgets for cash compensation. </w:t>
      </w:r>
      <w:r w:rsidRPr="0016687E">
        <w:t xml:space="preserve">The </w:t>
      </w:r>
      <w:r w:rsidR="004477B7">
        <w:t>PMU</w:t>
      </w:r>
      <w:r w:rsidR="004477B7" w:rsidRPr="0016687E">
        <w:t xml:space="preserve"> </w:t>
      </w:r>
      <w:r w:rsidRPr="0016687E">
        <w:t>for the NAB will inform the affected persons of the schedule of fund rel</w:t>
      </w:r>
      <w:r w:rsidR="00054FF8">
        <w:t xml:space="preserve">ease. They will also advise the </w:t>
      </w:r>
      <w:r w:rsidRPr="0016687E">
        <w:t xml:space="preserve">affected persons to produce acceptable legal documents pertaining to their </w:t>
      </w:r>
      <w:r w:rsidR="00054FF8">
        <w:t xml:space="preserve">identification for claiming the </w:t>
      </w:r>
      <w:r w:rsidRPr="0016687E">
        <w:t xml:space="preserve">compensation. It is the main responsibility of </w:t>
      </w:r>
      <w:r w:rsidR="004477B7">
        <w:t>PMU</w:t>
      </w:r>
      <w:r w:rsidR="004477B7" w:rsidRPr="0016687E">
        <w:t xml:space="preserve"> </w:t>
      </w:r>
      <w:r w:rsidRPr="0016687E">
        <w:t xml:space="preserve">to </w:t>
      </w:r>
      <w:r w:rsidRPr="0016687E">
        <w:lastRenderedPageBreak/>
        <w:t>ensure that all the compensatio</w:t>
      </w:r>
      <w:r w:rsidR="00054FF8">
        <w:t xml:space="preserve">ns and entitlements have </w:t>
      </w:r>
      <w:r w:rsidRPr="0016687E">
        <w:t>been paid to and settled with affected persons prior to clearing the construction site</w:t>
      </w:r>
      <w:r w:rsidR="00054FF8">
        <w:t xml:space="preserve">s. The </w:t>
      </w:r>
      <w:r w:rsidR="004477B7">
        <w:t xml:space="preserve">PMU </w:t>
      </w:r>
      <w:r w:rsidR="00054FF8">
        <w:t xml:space="preserve">will arrange for the </w:t>
      </w:r>
      <w:r w:rsidRPr="0016687E">
        <w:t>compensation to be dispersed directly to affected persons on presentation of identification. Affected persons wil</w:t>
      </w:r>
      <w:r w:rsidR="00054FF8">
        <w:t xml:space="preserve">l </w:t>
      </w:r>
      <w:r w:rsidRPr="0016687E">
        <w:t>sign a document indicating the receipt of their compensation and entitlements.</w:t>
      </w:r>
    </w:p>
    <w:p w:rsidR="004E4E84" w:rsidRPr="00C44943" w:rsidRDefault="004E4E84" w:rsidP="00C44943">
      <w:pPr>
        <w:rPr>
          <w:b/>
        </w:rPr>
      </w:pPr>
      <w:r w:rsidRPr="00C44943">
        <w:rPr>
          <w:b/>
        </w:rPr>
        <w:t>Monitoring of Compliance with WB OP4.12 policies</w:t>
      </w:r>
    </w:p>
    <w:p w:rsidR="004E4E84" w:rsidRPr="0016687E" w:rsidRDefault="004E4E84" w:rsidP="00C44943">
      <w:r w:rsidRPr="0016687E">
        <w:t xml:space="preserve">Internal monitoring is the responsibility of the </w:t>
      </w:r>
      <w:r w:rsidR="004477B7">
        <w:t>PMU</w:t>
      </w:r>
      <w:r w:rsidR="004477B7" w:rsidRPr="0016687E">
        <w:t xml:space="preserve"> </w:t>
      </w:r>
      <w:r w:rsidRPr="0016687E">
        <w:t>but will be conducted with the assistance of other government</w:t>
      </w:r>
      <w:r w:rsidR="00054FF8">
        <w:t xml:space="preserve"> </w:t>
      </w:r>
      <w:r w:rsidRPr="0016687E">
        <w:t xml:space="preserve">agencies as required. Internal monitoring reports will be submitted to WB with </w:t>
      </w:r>
      <w:r w:rsidR="00054FF8">
        <w:t xml:space="preserve">the quarterly progress reports. </w:t>
      </w:r>
      <w:r w:rsidRPr="0016687E">
        <w:t xml:space="preserve">External Monitoring will only be triggered in the case that there </w:t>
      </w:r>
      <w:proofErr w:type="gramStart"/>
      <w:r w:rsidRPr="0016687E">
        <w:t>is</w:t>
      </w:r>
      <w:proofErr w:type="gramEnd"/>
      <w:r w:rsidRPr="0016687E">
        <w:t xml:space="preserve"> a signifi</w:t>
      </w:r>
      <w:r w:rsidR="00054FF8">
        <w:t xml:space="preserve">cant number of affected persons </w:t>
      </w:r>
      <w:r w:rsidRPr="0016687E">
        <w:t>affected by the project. The details of Monitoring and Evaluation are discussed in furt</w:t>
      </w:r>
      <w:r w:rsidR="00054FF8">
        <w:t xml:space="preserve">her detail in other sections of </w:t>
      </w:r>
      <w:r w:rsidRPr="0016687E">
        <w:t xml:space="preserve">this </w:t>
      </w:r>
      <w:r w:rsidR="004477B7">
        <w:t>RPF</w:t>
      </w:r>
      <w:r w:rsidRPr="0016687E">
        <w:t>.</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br w:type="page"/>
      </w:r>
    </w:p>
    <w:p w:rsidR="004E4E84" w:rsidRPr="00C75291" w:rsidRDefault="004E4E84" w:rsidP="00C44943">
      <w:pPr>
        <w:pStyle w:val="Heading2"/>
      </w:pPr>
      <w:bookmarkStart w:id="26" w:name="_Toc483323540"/>
      <w:r w:rsidRPr="00C75291">
        <w:lastRenderedPageBreak/>
        <w:t>Compensation and Rehabilitation Eligibility</w:t>
      </w:r>
      <w:bookmarkEnd w:id="26"/>
    </w:p>
    <w:p w:rsidR="004E4E84" w:rsidRDefault="004E4E84" w:rsidP="00A40EBB">
      <w:r w:rsidRPr="0016687E">
        <w:t>Affected persons entitled to compensation or at least rehabilitation provisions under the project are:</w:t>
      </w:r>
    </w:p>
    <w:p w:rsidR="004E4E84" w:rsidRDefault="004E4E84" w:rsidP="00A40EBB">
      <w:r w:rsidRPr="0016687E">
        <w:t>-       All affected persons losing land, garden, structures (for example, property fe</w:t>
      </w:r>
      <w:r w:rsidR="002E0F06">
        <w:t xml:space="preserve">nces), crops or income with or </w:t>
      </w:r>
      <w:r w:rsidRPr="0016687E">
        <w:t>without title, formal lands use rights or traditional land use rights as a result of the Project intervention.</w:t>
      </w:r>
    </w:p>
    <w:p w:rsidR="004E4E84" w:rsidRDefault="004E4E84" w:rsidP="00A40EBB">
      <w:r w:rsidRPr="0016687E">
        <w:t>-       Tenants whether registered or not.</w:t>
      </w:r>
    </w:p>
    <w:p w:rsidR="004E4E84" w:rsidRDefault="004E4E84" w:rsidP="00A40EBB">
      <w:r w:rsidRPr="0016687E">
        <w:t>The Entitlement Matrix outlined in Table 5 below provides for compensation and e</w:t>
      </w:r>
      <w:r w:rsidR="002E0F06">
        <w:t xml:space="preserve">ntitlements as described in the </w:t>
      </w:r>
      <w:r w:rsidRPr="0016687E">
        <w:t xml:space="preserve">likely impacts of the Project. This Matrix will need to be adapted more specifically </w:t>
      </w:r>
      <w:r w:rsidR="002E0F06">
        <w:t>to the losses recorded when the</w:t>
      </w:r>
      <w:r w:rsidR="00A40EBB">
        <w:t xml:space="preserve"> </w:t>
      </w:r>
      <w:r w:rsidR="005F45FA">
        <w:t>ARAP</w:t>
      </w:r>
      <w:r w:rsidRPr="0016687E">
        <w:t xml:space="preserve"> is prepared. Note, in cases where title owners are absent, contested or passed away an</w:t>
      </w:r>
      <w:r w:rsidR="002E0F06">
        <w:t xml:space="preserve">d where the next </w:t>
      </w:r>
      <w:r w:rsidRPr="0016687E">
        <w:t>customary owner has not been legally named, compensation payments will be pla</w:t>
      </w:r>
      <w:r w:rsidR="002E0F06">
        <w:t xml:space="preserve">ced in a trust until the family </w:t>
      </w:r>
      <w:r w:rsidRPr="0016687E">
        <w:t>decides on the recipient.</w:t>
      </w:r>
    </w:p>
    <w:p w:rsidR="004E4E84" w:rsidRPr="00C75291"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0"/>
        </w:rPr>
      </w:pPr>
      <w:r w:rsidRPr="00C75291">
        <w:rPr>
          <w:rFonts w:eastAsia="Times New Roman" w:cs="Arial"/>
          <w:b/>
          <w:szCs w:val="20"/>
        </w:rPr>
        <w:t>Table 5       Entitlement Matrix</w:t>
      </w:r>
    </w:p>
    <w:tbl>
      <w:tblPr>
        <w:tblStyle w:val="TableGrid"/>
        <w:tblW w:w="0" w:type="auto"/>
        <w:tblLook w:val="04A0" w:firstRow="1" w:lastRow="0" w:firstColumn="1" w:lastColumn="0" w:noHBand="0" w:noVBand="1"/>
      </w:tblPr>
      <w:tblGrid>
        <w:gridCol w:w="807"/>
        <w:gridCol w:w="2213"/>
        <w:gridCol w:w="2280"/>
        <w:gridCol w:w="4276"/>
      </w:tblGrid>
      <w:tr w:rsidR="002E0F06" w:rsidTr="00A40EBB">
        <w:trPr>
          <w:tblHeader/>
        </w:trPr>
        <w:tc>
          <w:tcPr>
            <w:tcW w:w="807" w:type="dxa"/>
            <w:shd w:val="clear" w:color="auto" w:fill="CC0099"/>
          </w:tcPr>
          <w:p w:rsidR="002E0F06" w:rsidRP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2213" w:type="dxa"/>
            <w:shd w:val="clear" w:color="auto" w:fill="CC0099"/>
          </w:tcPr>
          <w:p w:rsidR="002E0F06" w:rsidRP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2E0F06">
              <w:rPr>
                <w:rFonts w:eastAsia="Times New Roman" w:cs="Arial"/>
                <w:b/>
                <w:color w:val="FFFFFF" w:themeColor="background1"/>
                <w:szCs w:val="20"/>
              </w:rPr>
              <w:t>Type of Losses</w:t>
            </w:r>
          </w:p>
        </w:tc>
        <w:tc>
          <w:tcPr>
            <w:tcW w:w="2280" w:type="dxa"/>
            <w:shd w:val="clear" w:color="auto" w:fill="CC0099"/>
          </w:tcPr>
          <w:p w:rsidR="002E0F06" w:rsidRPr="002E0F06" w:rsidRDefault="002E0F06" w:rsidP="002E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2E0F06">
              <w:rPr>
                <w:rFonts w:eastAsia="Times New Roman" w:cs="Arial"/>
                <w:b/>
                <w:color w:val="FFFFFF" w:themeColor="background1"/>
                <w:szCs w:val="20"/>
              </w:rPr>
              <w:t>Entitled Person</w:t>
            </w:r>
          </w:p>
        </w:tc>
        <w:tc>
          <w:tcPr>
            <w:tcW w:w="4276" w:type="dxa"/>
            <w:shd w:val="clear" w:color="auto" w:fill="CC0099"/>
          </w:tcPr>
          <w:p w:rsidR="002E0F06" w:rsidRP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2E0F06">
              <w:rPr>
                <w:rFonts w:eastAsia="Times New Roman" w:cs="Arial"/>
                <w:b/>
                <w:color w:val="FFFFFF" w:themeColor="background1"/>
                <w:szCs w:val="20"/>
              </w:rPr>
              <w:t>Entitlement</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1a</w:t>
            </w:r>
          </w:p>
        </w:tc>
        <w:tc>
          <w:tcPr>
            <w:tcW w:w="2213"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Land – Commercial or residential</w:t>
            </w:r>
          </w:p>
        </w:tc>
        <w:tc>
          <w:tcPr>
            <w:tcW w:w="2280"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Title Holder (Land Owner)</w:t>
            </w:r>
          </w:p>
        </w:tc>
        <w:tc>
          <w:tcPr>
            <w:tcW w:w="4276" w:type="dxa"/>
          </w:tcPr>
          <w:p w:rsidR="002E0F06" w:rsidRDefault="002E0F06"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Current Market Value of affected land in cash compensation to be provided to the Land owner or through Government Trustee for future land owner claimant.</w:t>
            </w:r>
          </w:p>
          <w:p w:rsidR="002E0F06" w:rsidRDefault="002E0F06"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potential rent income value</w:t>
            </w:r>
          </w:p>
          <w:p w:rsidR="002E0F06" w:rsidRPr="002E0F06" w:rsidRDefault="002E0F06"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Changing of title to reflect land transferred to Government and to reflect appropriate land use type (agricultural, residential </w:t>
            </w:r>
            <w:proofErr w:type="spellStart"/>
            <w:r>
              <w:rPr>
                <w:rFonts w:eastAsia="Times New Roman" w:cs="Arial"/>
                <w:szCs w:val="20"/>
              </w:rPr>
              <w:t>etc</w:t>
            </w:r>
            <w:proofErr w:type="spellEnd"/>
            <w:r>
              <w:rPr>
                <w:rFonts w:eastAsia="Times New Roman" w:cs="Arial"/>
                <w:szCs w:val="20"/>
              </w:rPr>
              <w:t>), without cost to the land holders’ account.</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1b</w:t>
            </w:r>
          </w:p>
        </w:tc>
        <w:tc>
          <w:tcPr>
            <w:tcW w:w="2213"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Land-Agricultural</w:t>
            </w:r>
          </w:p>
        </w:tc>
        <w:tc>
          <w:tcPr>
            <w:tcW w:w="2280"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Legal owner(s) of land</w:t>
            </w:r>
          </w:p>
        </w:tc>
        <w:tc>
          <w:tcPr>
            <w:tcW w:w="4276" w:type="dxa"/>
          </w:tcPr>
          <w:p w:rsidR="002E0F06" w:rsidRPr="00A4375B" w:rsidRDefault="002E0F06"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2E0F06">
              <w:rPr>
                <w:rFonts w:eastAsia="Times New Roman" w:cs="Arial"/>
                <w:szCs w:val="20"/>
              </w:rPr>
              <w:t xml:space="preserve">Current Market Value of affected land in cash Agricultural              </w:t>
            </w:r>
            <w:r>
              <w:rPr>
                <w:rFonts w:eastAsia="Times New Roman" w:cs="Arial"/>
                <w:szCs w:val="20"/>
              </w:rPr>
              <w:t xml:space="preserve">                              </w:t>
            </w:r>
            <w:r w:rsidRPr="002E0F06">
              <w:rPr>
                <w:rFonts w:eastAsia="Times New Roman" w:cs="Arial"/>
                <w:szCs w:val="20"/>
              </w:rPr>
              <w:t>compensation to be provided to the Land owner or</w:t>
            </w:r>
            <w:r w:rsidR="00A4375B">
              <w:rPr>
                <w:rFonts w:eastAsia="Times New Roman" w:cs="Arial"/>
                <w:szCs w:val="20"/>
              </w:rPr>
              <w:t xml:space="preserve"> through Government Trustee for future land owner claimant.</w:t>
            </w:r>
          </w:p>
          <w:p w:rsidR="002E0F06" w:rsidRDefault="00A4375B"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potential rent income value.</w:t>
            </w:r>
          </w:p>
          <w:p w:rsidR="00A4375B" w:rsidRPr="002E0F06" w:rsidRDefault="00A4375B" w:rsidP="002E0F0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Changing of title to reflect land transferred to Government and to reflect appropriate land use type (agricultural, residential </w:t>
            </w:r>
            <w:proofErr w:type="spellStart"/>
            <w:r>
              <w:rPr>
                <w:rFonts w:eastAsia="Times New Roman" w:cs="Arial"/>
                <w:szCs w:val="20"/>
              </w:rPr>
              <w:t>etc</w:t>
            </w:r>
            <w:proofErr w:type="spellEnd"/>
            <w:r>
              <w:rPr>
                <w:rFonts w:eastAsia="Times New Roman" w:cs="Arial"/>
                <w:szCs w:val="20"/>
              </w:rPr>
              <w:t>), without cost to the land holder’s account.</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1c</w:t>
            </w:r>
          </w:p>
        </w:tc>
        <w:tc>
          <w:tcPr>
            <w:tcW w:w="2213"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Agricultural and commercial Land (Loss of land use) - Leaseholder</w:t>
            </w:r>
          </w:p>
        </w:tc>
        <w:tc>
          <w:tcPr>
            <w:tcW w:w="2280"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The Leaseholder – earning income through land-use for agriculture or business (e.g. Storage, vehicle parking etc.) purposes</w:t>
            </w:r>
          </w:p>
        </w:tc>
        <w:tc>
          <w:tcPr>
            <w:tcW w:w="4276" w:type="dxa"/>
          </w:tcPr>
          <w:p w:rsidR="002E0F06"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Cash payment for the interest on the loss of the profit from land use over the years remaining on the lease.</w:t>
            </w:r>
          </w:p>
          <w:p w:rsidR="00A04249" w:rsidRPr="00A04249"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Change in the Lease removing land area from the leasehold, at no cost to the leaseholder including government administrative fees.</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2a</w:t>
            </w:r>
          </w:p>
        </w:tc>
        <w:tc>
          <w:tcPr>
            <w:tcW w:w="2213"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Structures - Titleholders</w:t>
            </w:r>
          </w:p>
        </w:tc>
        <w:tc>
          <w:tcPr>
            <w:tcW w:w="2280"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Title Holder</w:t>
            </w:r>
          </w:p>
        </w:tc>
        <w:tc>
          <w:tcPr>
            <w:tcW w:w="4276" w:type="dxa"/>
          </w:tcPr>
          <w:p w:rsidR="002E0F06" w:rsidRPr="00A04249"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Replacement at the market cost</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2b</w:t>
            </w:r>
          </w:p>
        </w:tc>
        <w:tc>
          <w:tcPr>
            <w:tcW w:w="2213"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structures - Tenant</w:t>
            </w:r>
          </w:p>
        </w:tc>
        <w:tc>
          <w:tcPr>
            <w:tcW w:w="2280"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Tenant</w:t>
            </w:r>
          </w:p>
        </w:tc>
        <w:tc>
          <w:tcPr>
            <w:tcW w:w="4276" w:type="dxa"/>
          </w:tcPr>
          <w:p w:rsidR="002E0F06"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Replacement at cost</w:t>
            </w:r>
          </w:p>
          <w:p w:rsidR="00A04249" w:rsidRPr="00A04249"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Rebuilding assistance</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2c</w:t>
            </w:r>
          </w:p>
        </w:tc>
        <w:tc>
          <w:tcPr>
            <w:tcW w:w="2213"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structures – Informal settlement</w:t>
            </w:r>
          </w:p>
        </w:tc>
        <w:tc>
          <w:tcPr>
            <w:tcW w:w="2280" w:type="dxa"/>
          </w:tcPr>
          <w:p w:rsidR="002E0F06" w:rsidRDefault="00A04249"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Non-title holder and non-tenant – squatting or informal settlement</w:t>
            </w:r>
          </w:p>
        </w:tc>
        <w:tc>
          <w:tcPr>
            <w:tcW w:w="4276" w:type="dxa"/>
          </w:tcPr>
          <w:p w:rsidR="002E0F06"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Structure replacement value to area required and land entitlement assistance</w:t>
            </w:r>
          </w:p>
          <w:p w:rsidR="00A04249" w:rsidRPr="00A04249" w:rsidRDefault="00A04249" w:rsidP="00A042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Social Assistance if fall below poverty </w:t>
            </w:r>
            <w:r>
              <w:rPr>
                <w:rFonts w:eastAsia="Times New Roman" w:cs="Arial"/>
                <w:szCs w:val="20"/>
              </w:rPr>
              <w:lastRenderedPageBreak/>
              <w:t>line.</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3a</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community or common property</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Structure owners or users and cultural/religious structures and land</w:t>
            </w:r>
          </w:p>
        </w:tc>
        <w:tc>
          <w:tcPr>
            <w:tcW w:w="4276" w:type="dxa"/>
          </w:tcPr>
          <w:p w:rsidR="002E0F06"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Physical replacement of structure </w:t>
            </w:r>
          </w:p>
          <w:p w:rsidR="00AB1A7C"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Temporary facilities will be provided between time of demolishing and rebuilding of replacement structure</w:t>
            </w:r>
          </w:p>
          <w:p w:rsidR="00AB1A7C" w:rsidRPr="00AB1A7C"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Assistance for religious and cultural rights will be provided for new structures.</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4</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Temporary Loss</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Land/Structures owners/users</w:t>
            </w:r>
          </w:p>
        </w:tc>
        <w:tc>
          <w:tcPr>
            <w:tcW w:w="4276" w:type="dxa"/>
          </w:tcPr>
          <w:p w:rsidR="002E0F06"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Compensation for necessary losses during project period or period of loss.</w:t>
            </w:r>
          </w:p>
          <w:p w:rsidR="00AB1A7C" w:rsidRPr="00AB1A7C"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Make good damaged land or structure caused by the subproject, immediately after installation of drainage/road maintenance in the area (within 5 days)</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5a</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Livelihood Losses – Crops (non-pasture)</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Owners of crops and trees</w:t>
            </w:r>
          </w:p>
        </w:tc>
        <w:tc>
          <w:tcPr>
            <w:tcW w:w="4276" w:type="dxa"/>
          </w:tcPr>
          <w:p w:rsidR="002E0F06" w:rsidRPr="00AB1A7C" w:rsidRDefault="00AB1A7C" w:rsidP="00AB1A7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Tenants/landowners/communities compensated with replacement or equal value to temporary loss distributed in same proportions as leasing agreements</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5b</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Livelihood Losses – Tenants</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Agricultural tenants losing income – including livestock, grass and fodder and other agricultural income</w:t>
            </w:r>
          </w:p>
        </w:tc>
        <w:tc>
          <w:tcPr>
            <w:tcW w:w="4276" w:type="dxa"/>
          </w:tcPr>
          <w:p w:rsidR="002E0F06"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Compensation for income loss during acquisition and resettlement process equal to replacement value of income, based on average from previous year.</w:t>
            </w:r>
          </w:p>
          <w:p w:rsidR="003F609B" w:rsidRP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Distribution will be in same proportions as leasing agreements.</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5c</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Livelihood Losses – business</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Business owners losing income</w:t>
            </w:r>
          </w:p>
        </w:tc>
        <w:tc>
          <w:tcPr>
            <w:tcW w:w="4276" w:type="dxa"/>
          </w:tcPr>
          <w:p w:rsidR="002E0F06"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Temporary loss of business</w:t>
            </w:r>
          </w:p>
          <w:p w:rsid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Lump sum to equal value of income for period of loss determined based on previous yearly income.</w:t>
            </w:r>
          </w:p>
          <w:p w:rsid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Permanent Loss of business</w:t>
            </w:r>
          </w:p>
          <w:p w:rsidR="003F609B" w:rsidRP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Replace of structure and Land.</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6</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Trees</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The Land-user – the land user, who is charged to develop the land as per instructions on the Lease.</w:t>
            </w:r>
          </w:p>
        </w:tc>
        <w:tc>
          <w:tcPr>
            <w:tcW w:w="4276" w:type="dxa"/>
          </w:tcPr>
          <w:p w:rsidR="002E0F06"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Wood trees – cash compensation based on value of wood volume x market value of the wood.</w:t>
            </w:r>
          </w:p>
          <w:p w:rsid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Fruit-Bearing trees: Compensation at Ministry of Agriculture Rate plus 5 year yield</w:t>
            </w:r>
          </w:p>
          <w:p w:rsidR="003F609B" w:rsidRPr="003F609B" w:rsidRDefault="003F609B"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Young trees, not yet to economically produce stage will be compensated at 2x sapling replacement cost (i.e. for one tree lost, 2 trees replaced).</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7</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Vulnerable Households</w:t>
            </w:r>
          </w:p>
        </w:tc>
        <w:tc>
          <w:tcPr>
            <w:tcW w:w="2280"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Affected Poor/elderly/ disabled/female headed households and those whose impacts will induce them to fall on or below the poverty line. </w:t>
            </w:r>
          </w:p>
        </w:tc>
        <w:tc>
          <w:tcPr>
            <w:tcW w:w="4276" w:type="dxa"/>
          </w:tcPr>
          <w:p w:rsidR="002E0F06" w:rsidRPr="003F609B" w:rsidRDefault="00572B8C" w:rsidP="003F609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One additional cash allowance equal to market value of gross income.</w:t>
            </w:r>
          </w:p>
        </w:tc>
      </w:tr>
      <w:tr w:rsidR="002E0F06" w:rsidTr="00A40EBB">
        <w:tc>
          <w:tcPr>
            <w:tcW w:w="807" w:type="dxa"/>
          </w:tcPr>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8</w:t>
            </w:r>
          </w:p>
        </w:tc>
        <w:tc>
          <w:tcPr>
            <w:tcW w:w="2213" w:type="dxa"/>
          </w:tcPr>
          <w:p w:rsidR="002E0F06" w:rsidRDefault="00AB1A7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Loss of gardens</w:t>
            </w:r>
          </w:p>
        </w:tc>
        <w:tc>
          <w:tcPr>
            <w:tcW w:w="2280" w:type="dxa"/>
          </w:tcPr>
          <w:p w:rsidR="002E0F06" w:rsidRDefault="00572B8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All affected persons including holders of land use certificate, </w:t>
            </w:r>
            <w:r>
              <w:rPr>
                <w:rFonts w:eastAsia="Times New Roman" w:cs="Arial"/>
                <w:szCs w:val="20"/>
              </w:rPr>
              <w:lastRenderedPageBreak/>
              <w:t>customary rights holders, tenants and squatters (informal settlements)</w:t>
            </w:r>
          </w:p>
        </w:tc>
        <w:tc>
          <w:tcPr>
            <w:tcW w:w="4276" w:type="dxa"/>
          </w:tcPr>
          <w:p w:rsidR="002E0F06" w:rsidRDefault="00572B8C" w:rsidP="00572B8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 xml:space="preserve">Compensation in cash at full market value for 1 annual harvest by default for impacts caused by use of </w:t>
            </w:r>
            <w:r>
              <w:rPr>
                <w:rFonts w:eastAsia="Times New Roman" w:cs="Arial"/>
                <w:szCs w:val="20"/>
              </w:rPr>
              <w:lastRenderedPageBreak/>
              <w:t>additional area foreseen to be damaged due to making space for construction works, replacement cost of gardens or small structures damaged.</w:t>
            </w:r>
          </w:p>
          <w:p w:rsidR="00572B8C" w:rsidRPr="00572B8C" w:rsidRDefault="00572B8C" w:rsidP="00572B8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Tenants, use rights holders will share compensation based on their contract.</w:t>
            </w:r>
          </w:p>
        </w:tc>
      </w:tr>
    </w:tbl>
    <w:p w:rsidR="002E0F06" w:rsidRDefault="002E0F06"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AE304D" w:rsidRDefault="004E4E84" w:rsidP="00A40EBB">
      <w:pPr>
        <w:pStyle w:val="Heading2"/>
      </w:pPr>
      <w:bookmarkStart w:id="27" w:name="_Toc483323541"/>
      <w:r w:rsidRPr="00AE304D">
        <w:t>Protocols for Voluntary Land Acquisition and Donation</w:t>
      </w:r>
      <w:bookmarkEnd w:id="27"/>
    </w:p>
    <w:p w:rsidR="004E4E84" w:rsidRDefault="004E4E84" w:rsidP="00A40EBB">
      <w:r w:rsidRPr="0016687E">
        <w:t>Voluntary Land Acquisition (or Donation) refers to a process by which an individual or communal owner agrees to</w:t>
      </w:r>
      <w:r w:rsidR="00AE304D">
        <w:t xml:space="preserve"> </w:t>
      </w:r>
      <w:r w:rsidRPr="0016687E">
        <w:t>provide land or property for project-related activities. In general, Voluntary Land Contribution is undertaken</w:t>
      </w:r>
      <w:r w:rsidR="00AE304D">
        <w:t xml:space="preserve"> </w:t>
      </w:r>
      <w:r w:rsidRPr="0016687E">
        <w:t>without Compensation. Voluntary contribution is an act of informed consent, made with the prior knowledge of</w:t>
      </w:r>
      <w:r w:rsidR="00AE304D">
        <w:t xml:space="preserve"> </w:t>
      </w:r>
      <w:r w:rsidRPr="0016687E">
        <w:t>other options available and their consequences, including the right not to contribute or transfer the land. It must be</w:t>
      </w:r>
      <w:r w:rsidR="00AE304D">
        <w:t xml:space="preserve"> </w:t>
      </w:r>
      <w:r w:rsidRPr="0016687E">
        <w:t>obtained without undue coercion or duress.</w:t>
      </w:r>
    </w:p>
    <w:p w:rsidR="004E4E84" w:rsidRDefault="004E4E84" w:rsidP="00A40EBB">
      <w:r w:rsidRPr="0016687E">
        <w:t>Voluntary Land Acquisition or Donation requires a declaration by the individual, household or group that they are</w:t>
      </w:r>
      <w:r w:rsidR="00AE304D">
        <w:t xml:space="preserve"> </w:t>
      </w:r>
      <w:r w:rsidRPr="0016687E">
        <w:t>donating the use of the land for a specific purpose and a specific duration of time. It is provided freely and without</w:t>
      </w:r>
      <w:r w:rsidR="00AE304D">
        <w:t xml:space="preserve"> </w:t>
      </w:r>
      <w:r w:rsidRPr="0016687E">
        <w:t>compensation.</w:t>
      </w:r>
    </w:p>
    <w:p w:rsidR="004E4E84" w:rsidRDefault="004E4E84" w:rsidP="00A40EBB">
      <w:r w:rsidRPr="0016687E">
        <w:t>Voluntary land donation is only acceptable if the following safeguards are in place:</w:t>
      </w:r>
    </w:p>
    <w:p w:rsidR="000053EF" w:rsidRDefault="004E4E84" w:rsidP="00A40EBB">
      <w:r w:rsidRPr="0016687E">
        <w:t>-       Full consultation with landowners and any non-titled affected people on site selection;</w:t>
      </w:r>
    </w:p>
    <w:p w:rsidR="000053EF" w:rsidRDefault="004E4E84" w:rsidP="00A40EBB">
      <w:r w:rsidRPr="0016687E">
        <w:t>-       Voluntary donations should not severely affect the living standards of affected people;</w:t>
      </w:r>
    </w:p>
    <w:p w:rsidR="004E4E84" w:rsidRPr="0016687E" w:rsidRDefault="004E4E84" w:rsidP="00A40EBB">
      <w:r w:rsidRPr="0016687E">
        <w:t>-       Any voluntary ‘donation’ will be confirmed through written record (see Appendix E) and verified by an</w:t>
      </w:r>
    </w:p>
    <w:p w:rsidR="004E4E84" w:rsidRPr="0016687E" w:rsidRDefault="004E4E84" w:rsidP="00A40EBB">
      <w:r w:rsidRPr="0016687E">
        <w:t xml:space="preserve">        </w:t>
      </w:r>
      <w:r w:rsidR="00961E36" w:rsidRPr="0016687E">
        <w:t>Independent</w:t>
      </w:r>
      <w:r w:rsidRPr="0016687E">
        <w:t xml:space="preserve"> third party such as customary tribunal, NGO or legal authority;</w:t>
      </w:r>
    </w:p>
    <w:p w:rsidR="004E4E84" w:rsidRDefault="004E4E84" w:rsidP="00A40EBB">
      <w:r w:rsidRPr="0016687E">
        <w:t>-       Adequate grievance redress mechanism should be in place;</w:t>
      </w:r>
    </w:p>
    <w:p w:rsidR="00280C1F" w:rsidRDefault="004E4E84" w:rsidP="00A40EBB">
      <w:r w:rsidRPr="0016687E">
        <w:t xml:space="preserve">-       Land is made available to project beneficiaries for the duration of the project; </w:t>
      </w:r>
    </w:p>
    <w:p w:rsidR="004E4E84" w:rsidRDefault="00280C1F" w:rsidP="00A40EBB">
      <w:r>
        <w:t xml:space="preserve">-       Private households donating land should be direct beneficiaries of the investment; </w:t>
      </w:r>
      <w:r w:rsidR="004E4E84" w:rsidRPr="0016687E">
        <w:t>and</w:t>
      </w:r>
    </w:p>
    <w:p w:rsidR="004E4E84" w:rsidRDefault="004E4E84" w:rsidP="00A40EBB">
      <w:r w:rsidRPr="0016687E">
        <w:t xml:space="preserve">-       </w:t>
      </w:r>
      <w:r w:rsidR="00280C1F">
        <w:t>Impacts should be minor, and less than 10% of total land / asset</w:t>
      </w:r>
      <w:r w:rsidRPr="0016687E">
        <w:t>.</w:t>
      </w:r>
    </w:p>
    <w:p w:rsidR="004E4E84" w:rsidRPr="00AE304D" w:rsidRDefault="004E4E84" w:rsidP="00A40EBB">
      <w:pPr>
        <w:pStyle w:val="Heading2"/>
      </w:pPr>
      <w:bookmarkStart w:id="28" w:name="_Toc483323542"/>
      <w:r w:rsidRPr="00AE304D">
        <w:t>Supervision and Monitoring</w:t>
      </w:r>
      <w:bookmarkEnd w:id="28"/>
    </w:p>
    <w:p w:rsidR="00AE304D"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As the land acquisition impacts are expected to be small and with limited impacts, only internal monitoring is</w:t>
      </w:r>
      <w:r w:rsidR="00AE304D">
        <w:rPr>
          <w:rFonts w:eastAsia="Times New Roman" w:cs="Arial"/>
          <w:szCs w:val="20"/>
        </w:rPr>
        <w:t xml:space="preserve"> </w:t>
      </w:r>
      <w:r w:rsidRPr="0016687E">
        <w:rPr>
          <w:rFonts w:eastAsia="Times New Roman" w:cs="Arial"/>
          <w:szCs w:val="20"/>
        </w:rPr>
        <w:t>envisaged. In the case that land acquisition impacts do become significant, for unforeseen reasons, then external</w:t>
      </w:r>
      <w:r w:rsidR="00AE304D">
        <w:rPr>
          <w:rFonts w:eastAsia="Times New Roman" w:cs="Arial"/>
          <w:szCs w:val="20"/>
        </w:rPr>
        <w:t xml:space="preserve"> monitoring would be undertaken.</w:t>
      </w: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AE304D" w:rsidRDefault="004E4E84" w:rsidP="00A40EBB">
      <w:pPr>
        <w:pStyle w:val="Heading3"/>
      </w:pPr>
      <w:r w:rsidRPr="00AE304D">
        <w:t>Internal Monitoring</w:t>
      </w:r>
    </w:p>
    <w:p w:rsidR="004E4E84" w:rsidRDefault="004E4E84" w:rsidP="00A40EBB">
      <w:r w:rsidRPr="0016687E">
        <w:t xml:space="preserve">Internal Monitoring will be conducted by the </w:t>
      </w:r>
      <w:r w:rsidR="000053EF">
        <w:t>PMU</w:t>
      </w:r>
      <w:r w:rsidRPr="0016687E">
        <w:t xml:space="preserve">. The </w:t>
      </w:r>
      <w:r w:rsidR="000053EF">
        <w:t>PMU</w:t>
      </w:r>
      <w:r w:rsidRPr="0016687E">
        <w:t xml:space="preserve"> will design and establish an internal</w:t>
      </w:r>
      <w:r w:rsidR="00AE304D">
        <w:t xml:space="preserve"> </w:t>
      </w:r>
      <w:r w:rsidRPr="0016687E">
        <w:t xml:space="preserve">monitoring system for land acquisition and resettlement by submitting the monitoring plan with the </w:t>
      </w:r>
      <w:r w:rsidR="005F45FA">
        <w:t>ARAP</w:t>
      </w:r>
      <w:r w:rsidRPr="0016687E">
        <w:t xml:space="preserve"> to WB at</w:t>
      </w:r>
      <w:r w:rsidR="00AE304D">
        <w:t xml:space="preserve"> </w:t>
      </w:r>
      <w:r w:rsidRPr="0016687E">
        <w:t>the time of the detailed design. The objectives of a monitoring program are:</w:t>
      </w:r>
    </w:p>
    <w:p w:rsidR="004E4E84" w:rsidRPr="0016687E" w:rsidRDefault="004E4E84" w:rsidP="00A40EBB">
      <w:r w:rsidRPr="0016687E">
        <w:t>-       To ensure that the standard of living of affected persons are restored or improved;</w:t>
      </w:r>
    </w:p>
    <w:p w:rsidR="004E4E84" w:rsidRPr="0016687E" w:rsidRDefault="004E4E84" w:rsidP="00A40EBB">
      <w:r w:rsidRPr="0016687E">
        <w:t>-       To monitor whether the timelines are being met;</w:t>
      </w:r>
    </w:p>
    <w:p w:rsidR="004E4E84" w:rsidRPr="0016687E" w:rsidRDefault="004E4E84" w:rsidP="00A40EBB">
      <w:r w:rsidRPr="0016687E">
        <w:t xml:space="preserve">-    </w:t>
      </w:r>
      <w:r w:rsidR="00AE304D">
        <w:t xml:space="preserve"> </w:t>
      </w:r>
      <w:r w:rsidRPr="0016687E">
        <w:t xml:space="preserve">To assess if compensation, rehabilitation measures and income restoration support programs are </w:t>
      </w:r>
      <w:r w:rsidR="00AE304D">
        <w:t xml:space="preserve">  </w:t>
      </w:r>
      <w:r w:rsidRPr="0016687E">
        <w:t>sufficient;</w:t>
      </w:r>
      <w:r w:rsidR="00AE304D">
        <w:t xml:space="preserve"> </w:t>
      </w:r>
      <w:r w:rsidRPr="0016687E">
        <w:t>and</w:t>
      </w:r>
    </w:p>
    <w:p w:rsidR="004E4E84" w:rsidRDefault="004E4E84" w:rsidP="00A40EBB">
      <w:r w:rsidRPr="0016687E">
        <w:lastRenderedPageBreak/>
        <w:t>-       To identify and mitigate any issues arising.</w:t>
      </w:r>
    </w:p>
    <w:p w:rsidR="004E4E84" w:rsidRDefault="004E4E84" w:rsidP="00A40EBB">
      <w:r w:rsidRPr="0016687E">
        <w:t>The range of activities and issues recorded and checked might include, but not be limited to:</w:t>
      </w:r>
    </w:p>
    <w:p w:rsidR="004E4E84" w:rsidRPr="0016687E" w:rsidRDefault="00A40EBB" w:rsidP="00A40EBB">
      <w:r>
        <w:t xml:space="preserve">-      </w:t>
      </w:r>
      <w:r w:rsidR="004E4E84" w:rsidRPr="0016687E">
        <w:t>Staffing – adequacy, resources and competence;</w:t>
      </w:r>
    </w:p>
    <w:p w:rsidR="004E4E84" w:rsidRPr="0016687E" w:rsidRDefault="00A40EBB" w:rsidP="00A40EBB">
      <w:r>
        <w:t xml:space="preserve">-      </w:t>
      </w:r>
      <w:r w:rsidR="004E4E84" w:rsidRPr="0016687E">
        <w:t>Land acquisition procedures;</w:t>
      </w:r>
    </w:p>
    <w:p w:rsidR="004E4E84" w:rsidRPr="0016687E" w:rsidRDefault="00A40EBB" w:rsidP="00A40EBB">
      <w:r>
        <w:t xml:space="preserve">-      </w:t>
      </w:r>
      <w:r w:rsidR="004E4E84" w:rsidRPr="0016687E">
        <w:t>Income restoration calculations and compensation procedures;</w:t>
      </w:r>
    </w:p>
    <w:p w:rsidR="004E4E84" w:rsidRPr="0016687E" w:rsidRDefault="00A40EBB" w:rsidP="00A40EBB">
      <w:r>
        <w:t xml:space="preserve">-      </w:t>
      </w:r>
      <w:r w:rsidR="004E4E84" w:rsidRPr="0016687E">
        <w:t>Public participation – arrangements and efficiency;</w:t>
      </w:r>
    </w:p>
    <w:p w:rsidR="004E4E84" w:rsidRPr="0016687E" w:rsidRDefault="00A40EBB" w:rsidP="00A40EBB">
      <w:r>
        <w:t xml:space="preserve">-      </w:t>
      </w:r>
      <w:r w:rsidR="004E4E84" w:rsidRPr="0016687E">
        <w:t>Compensation payments, including timeliness of payments, coordination and valuations;</w:t>
      </w:r>
    </w:p>
    <w:p w:rsidR="004E4E84" w:rsidRPr="0016687E" w:rsidRDefault="00A40EBB" w:rsidP="00A40EBB">
      <w:r>
        <w:t xml:space="preserve">-      </w:t>
      </w:r>
      <w:r w:rsidR="004E4E84" w:rsidRPr="0016687E">
        <w:t>Construction of replacement houses by displaced households (if any affected);</w:t>
      </w:r>
    </w:p>
    <w:p w:rsidR="004E4E84" w:rsidRPr="0016687E" w:rsidRDefault="00A40EBB" w:rsidP="00A40EBB">
      <w:r>
        <w:t xml:space="preserve">-      </w:t>
      </w:r>
      <w:r w:rsidR="004E4E84" w:rsidRPr="0016687E">
        <w:t>Re-establishment of displaced households and business enterprises;</w:t>
      </w:r>
    </w:p>
    <w:p w:rsidR="004E4E84" w:rsidRPr="0016687E" w:rsidRDefault="00A40EBB" w:rsidP="00A40EBB">
      <w:r>
        <w:t xml:space="preserve">-      </w:t>
      </w:r>
      <w:r w:rsidR="004E4E84" w:rsidRPr="0016687E">
        <w:t>Replacement of common facilities;</w:t>
      </w:r>
    </w:p>
    <w:p w:rsidR="004E4E84" w:rsidRPr="0016687E" w:rsidRDefault="00A40EBB" w:rsidP="00A40EBB">
      <w:pPr>
        <w:ind w:left="567" w:hanging="567"/>
      </w:pPr>
      <w:r>
        <w:t>-     R</w:t>
      </w:r>
      <w:r w:rsidR="004E4E84" w:rsidRPr="0016687E">
        <w:t>esponse of severely affected households, in particular, to resettlement and compensation packages;</w:t>
      </w:r>
    </w:p>
    <w:p w:rsidR="004E4E84" w:rsidRPr="0016687E" w:rsidRDefault="00A40EBB" w:rsidP="00A40EBB">
      <w:r>
        <w:t xml:space="preserve">-     </w:t>
      </w:r>
      <w:r w:rsidR="004E4E84" w:rsidRPr="0016687E">
        <w:t>Re-establishment of income levels;</w:t>
      </w:r>
    </w:p>
    <w:p w:rsidR="004E4E84" w:rsidRPr="0016687E" w:rsidRDefault="00A40EBB" w:rsidP="00A40EBB">
      <w:r>
        <w:t xml:space="preserve">-     </w:t>
      </w:r>
      <w:r w:rsidR="004E4E84" w:rsidRPr="0016687E">
        <w:t>Grievance redress committees – establishment and functioning; and</w:t>
      </w:r>
    </w:p>
    <w:p w:rsidR="004E4E84" w:rsidRDefault="00A40EBB" w:rsidP="00A40EBB">
      <w:r>
        <w:t xml:space="preserve">-      </w:t>
      </w:r>
      <w:r w:rsidR="004E4E84" w:rsidRPr="0016687E">
        <w:t xml:space="preserve">Monitoring affected </w:t>
      </w:r>
      <w:r w:rsidR="00F76B41" w:rsidRPr="0016687E">
        <w:t>person’s</w:t>
      </w:r>
      <w:r w:rsidR="004E4E84" w:rsidRPr="0016687E">
        <w:t xml:space="preserve"> rehabilitation status to ensure that affected persons are not made worse</w:t>
      </w:r>
      <w:r w:rsidR="001644CF">
        <w:t xml:space="preserve"> </w:t>
      </w:r>
      <w:r w:rsidR="004E4E84" w:rsidRPr="0016687E">
        <w:t>off by</w:t>
      </w:r>
      <w:r w:rsidR="00AE304D">
        <w:t xml:space="preserve"> </w:t>
      </w:r>
      <w:r w:rsidR="004E4E84" w:rsidRPr="0016687E">
        <w:t>the resettlement activity.</w:t>
      </w:r>
    </w:p>
    <w:p w:rsidR="004E4E84" w:rsidRDefault="004E4E84" w:rsidP="00A40EBB">
      <w:r w:rsidRPr="0016687E">
        <w:t>Monitoring will be carried out on a baseline, mid-term and end of land acquisition and compensation period and</w:t>
      </w:r>
      <w:r w:rsidR="00AE304D">
        <w:t xml:space="preserve"> </w:t>
      </w:r>
      <w:r w:rsidRPr="0016687E">
        <w:t xml:space="preserve">monitoring reports will be submitted to WB accordingly. The </w:t>
      </w:r>
      <w:r w:rsidR="000053EF">
        <w:t>PMU</w:t>
      </w:r>
      <w:r w:rsidR="000053EF" w:rsidRPr="0016687E">
        <w:t xml:space="preserve"> </w:t>
      </w:r>
      <w:r w:rsidRPr="0016687E">
        <w:t>will be responsible for determining if any follow-</w:t>
      </w:r>
      <w:r w:rsidR="00AE304D">
        <w:t xml:space="preserve"> </w:t>
      </w:r>
      <w:r w:rsidRPr="0016687E">
        <w:t xml:space="preserve">up actions </w:t>
      </w:r>
      <w:proofErr w:type="gramStart"/>
      <w:r w:rsidRPr="0016687E">
        <w:t>are</w:t>
      </w:r>
      <w:proofErr w:type="gramEnd"/>
      <w:r w:rsidRPr="0016687E">
        <w:t xml:space="preserve"> necessary and ensuring these actions are undertaken.</w:t>
      </w:r>
      <w:r w:rsidR="001644CF">
        <w:t xml:space="preserve">  </w:t>
      </w:r>
      <w:r w:rsidRPr="0016687E">
        <w:t>Prior to distribution of compensation to the affected persons, the</w:t>
      </w:r>
      <w:r w:rsidR="001644CF">
        <w:t xml:space="preserve"> </w:t>
      </w:r>
      <w:r w:rsidR="000053EF">
        <w:t>PMU</w:t>
      </w:r>
      <w:r w:rsidRPr="0016687E">
        <w:t xml:space="preserve"> will announce the compensation schedule</w:t>
      </w:r>
      <w:r w:rsidR="00AE304D">
        <w:t xml:space="preserve"> </w:t>
      </w:r>
      <w:r w:rsidRPr="0016687E">
        <w:t>dates to each affected party. No construction in the affected area will commence until the compensation has been</w:t>
      </w:r>
      <w:r w:rsidR="00AE304D">
        <w:t xml:space="preserve"> </w:t>
      </w:r>
      <w:r w:rsidRPr="0016687E">
        <w:t>fully completed.</w:t>
      </w:r>
    </w:p>
    <w:p w:rsidR="004E4E84" w:rsidRDefault="004E4E84" w:rsidP="00A40EBB">
      <w:pPr>
        <w:rPr>
          <w:rFonts w:eastAsia="Times New Roman" w:cs="Arial"/>
          <w:szCs w:val="20"/>
        </w:rPr>
      </w:pPr>
      <w:r w:rsidRPr="0016687E">
        <w:rPr>
          <w:rFonts w:eastAsia="Times New Roman" w:cs="Arial"/>
          <w:szCs w:val="20"/>
        </w:rPr>
        <w:t xml:space="preserve">The </w:t>
      </w:r>
      <w:r w:rsidR="005F45FA">
        <w:rPr>
          <w:rFonts w:eastAsia="Times New Roman" w:cs="Arial"/>
          <w:szCs w:val="20"/>
        </w:rPr>
        <w:t>PMU</w:t>
      </w:r>
      <w:r w:rsidR="005F45FA" w:rsidRPr="0016687E">
        <w:rPr>
          <w:rFonts w:eastAsia="Times New Roman" w:cs="Arial"/>
          <w:szCs w:val="20"/>
        </w:rPr>
        <w:t xml:space="preserve"> </w:t>
      </w:r>
      <w:r w:rsidRPr="0016687E">
        <w:rPr>
          <w:rFonts w:eastAsia="Times New Roman" w:cs="Arial"/>
          <w:szCs w:val="20"/>
        </w:rPr>
        <w:t xml:space="preserve">will prepare and submit to the WB quarterly monitoring reports on implementation of </w:t>
      </w:r>
      <w:proofErr w:type="spellStart"/>
      <w:r w:rsidRPr="0016687E">
        <w:rPr>
          <w:rFonts w:eastAsia="Times New Roman" w:cs="Arial"/>
          <w:szCs w:val="20"/>
        </w:rPr>
        <w:t>the</w:t>
      </w:r>
      <w:r w:rsidR="005F45FA">
        <w:rPr>
          <w:rFonts w:eastAsia="Times New Roman" w:cs="Arial"/>
          <w:szCs w:val="20"/>
        </w:rPr>
        <w:t>ARAP</w:t>
      </w:r>
      <w:proofErr w:type="spellEnd"/>
      <w:r w:rsidRPr="0016687E">
        <w:rPr>
          <w:rFonts w:eastAsia="Times New Roman" w:cs="Arial"/>
          <w:szCs w:val="20"/>
        </w:rPr>
        <w:t>. The</w:t>
      </w:r>
      <w:r w:rsidR="00AE304D">
        <w:rPr>
          <w:rFonts w:eastAsia="Times New Roman" w:cs="Arial"/>
          <w:szCs w:val="20"/>
        </w:rPr>
        <w:t xml:space="preserve"> </w:t>
      </w:r>
      <w:r w:rsidRPr="0016687E">
        <w:rPr>
          <w:rFonts w:eastAsia="Times New Roman" w:cs="Arial"/>
          <w:szCs w:val="20"/>
        </w:rPr>
        <w:t>monitoring reports will be locally disclosed to concerned stakeholders.</w:t>
      </w:r>
    </w:p>
    <w:p w:rsidR="004E4E84" w:rsidRPr="00AE304D" w:rsidRDefault="004E4E84" w:rsidP="00A40EBB">
      <w:pPr>
        <w:pStyle w:val="Heading3"/>
      </w:pPr>
      <w:r w:rsidRPr="00AE304D">
        <w:t>External Monitoring</w:t>
      </w:r>
    </w:p>
    <w:p w:rsidR="004E4E84" w:rsidRDefault="004E4E84" w:rsidP="00A40EBB">
      <w:r w:rsidRPr="0016687E">
        <w:t>In case any project activity involves unexpectedly significant land acquisition and resettlement impacts, an</w:t>
      </w:r>
      <w:r w:rsidR="001644CF">
        <w:t xml:space="preserve"> </w:t>
      </w:r>
      <w:r w:rsidRPr="0016687E">
        <w:t>External Monitor or External Monitoring Agency (EMA), approved by the WB, will be engaged and detailed</w:t>
      </w:r>
      <w:r w:rsidR="00AE304D">
        <w:t xml:space="preserve"> </w:t>
      </w:r>
      <w:r w:rsidRPr="0016687E">
        <w:t xml:space="preserve">arrangements will be included in the </w:t>
      </w:r>
      <w:r w:rsidR="005F45FA">
        <w:t>ARAP</w:t>
      </w:r>
      <w:r w:rsidRPr="0016687E">
        <w:t xml:space="preserve"> for respective project component. The EMA must be independent and</w:t>
      </w:r>
      <w:r w:rsidR="00AE304D">
        <w:t xml:space="preserve"> </w:t>
      </w:r>
      <w:r w:rsidRPr="0016687E">
        <w:t>can be a consultant, an NGO or academic institution. It is recommended that the monitor be sourced locally to</w:t>
      </w:r>
      <w:r w:rsidR="00AE304D">
        <w:t xml:space="preserve"> </w:t>
      </w:r>
      <w:r w:rsidRPr="0016687E">
        <w:t xml:space="preserve">carry out this activity. A budget Item for EMA will be included in the </w:t>
      </w:r>
      <w:r w:rsidR="005F45FA">
        <w:t>ARAP</w:t>
      </w:r>
      <w:r w:rsidRPr="0016687E">
        <w:t xml:space="preserve"> for the specific sub-project on an</w:t>
      </w:r>
      <w:r w:rsidR="00AE304D">
        <w:t xml:space="preserve"> </w:t>
      </w:r>
      <w:r w:rsidRPr="0016687E">
        <w:t>intermittent input basis.</w:t>
      </w:r>
    </w:p>
    <w:p w:rsidR="004E4E84" w:rsidRDefault="004E4E84" w:rsidP="00A40EBB">
      <w:r w:rsidRPr="0016687E">
        <w:t>The EMA role will be to monitor the land acquisition process and verify that compensation have been</w:t>
      </w:r>
      <w:r w:rsidR="00AE304D">
        <w:t xml:space="preserve"> </w:t>
      </w:r>
      <w:r w:rsidRPr="0016687E">
        <w:t xml:space="preserve">implemented in accordance with the agreed </w:t>
      </w:r>
      <w:r w:rsidR="005F45FA">
        <w:t>ARAP</w:t>
      </w:r>
      <w:r w:rsidRPr="0016687E">
        <w:t>.</w:t>
      </w:r>
    </w:p>
    <w:p w:rsidR="004E4E84" w:rsidRDefault="004E4E84" w:rsidP="00A40EBB">
      <w:r w:rsidRPr="0016687E">
        <w:t xml:space="preserve">At the end of the implementation of the </w:t>
      </w:r>
      <w:r w:rsidR="005F45FA">
        <w:t>ARAP</w:t>
      </w:r>
      <w:r w:rsidR="005F45FA" w:rsidRPr="0016687E">
        <w:t xml:space="preserve"> </w:t>
      </w:r>
      <w:r w:rsidRPr="0016687E">
        <w:t>the EMA will prepare a compliance report. If found acceptable, based</w:t>
      </w:r>
      <w:r w:rsidR="00AE304D">
        <w:t xml:space="preserve"> </w:t>
      </w:r>
      <w:r w:rsidRPr="0016687E">
        <w:t>on this document and the specific</w:t>
      </w:r>
      <w:r w:rsidR="005F45FA">
        <w:t xml:space="preserve"> ARAP</w:t>
      </w:r>
      <w:r w:rsidRPr="0016687E">
        <w:t>, the WB will provide to the EA a letter of no-objection for the initiation of</w:t>
      </w:r>
      <w:r w:rsidR="00AE304D">
        <w:t xml:space="preserve"> </w:t>
      </w:r>
      <w:r w:rsidRPr="0016687E">
        <w:t>civil works in areas with impacts. The EMA will also be involved in the complaints and grievance procedures to</w:t>
      </w:r>
      <w:r w:rsidR="00AE304D">
        <w:t xml:space="preserve"> </w:t>
      </w:r>
      <w:r w:rsidRPr="0016687E">
        <w:t>ensure concerns, if any, raised by affected persons and any affected parties are addressed satisfactorily.</w:t>
      </w:r>
    </w:p>
    <w:p w:rsidR="004E4E84" w:rsidRPr="00AE304D"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0"/>
        </w:rPr>
      </w:pPr>
      <w:r w:rsidRPr="00AE304D">
        <w:rPr>
          <w:rFonts w:eastAsia="Times New Roman" w:cs="Arial"/>
          <w:b/>
          <w:szCs w:val="20"/>
        </w:rPr>
        <w:t>Table 6      Monitoring Approach during Each Project Cycle</w:t>
      </w:r>
    </w:p>
    <w:tbl>
      <w:tblPr>
        <w:tblStyle w:val="TableGrid"/>
        <w:tblW w:w="0" w:type="auto"/>
        <w:tblLook w:val="04A0" w:firstRow="1" w:lastRow="0" w:firstColumn="1" w:lastColumn="0" w:noHBand="0" w:noVBand="1"/>
      </w:tblPr>
      <w:tblGrid>
        <w:gridCol w:w="4675"/>
        <w:gridCol w:w="4675"/>
      </w:tblGrid>
      <w:tr w:rsidR="00AE304D" w:rsidTr="00AE304D">
        <w:tc>
          <w:tcPr>
            <w:tcW w:w="4675" w:type="dxa"/>
            <w:shd w:val="clear" w:color="auto" w:fill="9A0000"/>
          </w:tcPr>
          <w:p w:rsidR="00AE304D" w:rsidRP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AE304D">
              <w:rPr>
                <w:rFonts w:eastAsia="Times New Roman" w:cs="Arial"/>
                <w:b/>
                <w:color w:val="FFFFFF" w:themeColor="background1"/>
                <w:szCs w:val="20"/>
              </w:rPr>
              <w:t>Project Cycle</w:t>
            </w:r>
          </w:p>
        </w:tc>
        <w:tc>
          <w:tcPr>
            <w:tcW w:w="4675" w:type="dxa"/>
            <w:shd w:val="clear" w:color="auto" w:fill="9A0000"/>
          </w:tcPr>
          <w:p w:rsidR="00AE304D" w:rsidRP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AE304D">
              <w:rPr>
                <w:rFonts w:eastAsia="Times New Roman" w:cs="Arial"/>
                <w:b/>
                <w:color w:val="FFFFFF" w:themeColor="background1"/>
                <w:szCs w:val="20"/>
              </w:rPr>
              <w:t>Data for Monitoring</w:t>
            </w:r>
          </w:p>
        </w:tc>
      </w:tr>
      <w:tr w:rsidR="00AE304D" w:rsidTr="00AE304D">
        <w:tc>
          <w:tcPr>
            <w:tcW w:w="4675" w:type="dxa"/>
          </w:tcPr>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lastRenderedPageBreak/>
              <w:t>Sub-Project Application</w:t>
            </w:r>
          </w:p>
        </w:tc>
        <w:tc>
          <w:tcPr>
            <w:tcW w:w="4675" w:type="dxa"/>
          </w:tcPr>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Land take for sub-projects; scale of resettlement, if any </w:t>
            </w:r>
          </w:p>
        </w:tc>
      </w:tr>
      <w:tr w:rsidR="00AE304D" w:rsidTr="00AE304D">
        <w:tc>
          <w:tcPr>
            <w:tcW w:w="4675" w:type="dxa"/>
          </w:tcPr>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Project Concept Development Technical &amp; Social Review</w:t>
            </w:r>
          </w:p>
        </w:tc>
        <w:tc>
          <w:tcPr>
            <w:tcW w:w="4675" w:type="dxa"/>
          </w:tcPr>
          <w:p w:rsidR="00AE304D"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Community consultations (date, number of participants, issues)</w:t>
            </w:r>
          </w:p>
        </w:tc>
      </w:tr>
      <w:tr w:rsidR="00AE304D" w:rsidTr="00AE304D">
        <w:tc>
          <w:tcPr>
            <w:tcW w:w="4675" w:type="dxa"/>
          </w:tcPr>
          <w:p w:rsidR="00AE304D" w:rsidRDefault="005F45FA" w:rsidP="005F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Abbreviated Resettlement Action Plans (ARAP)</w:t>
            </w:r>
          </w:p>
        </w:tc>
        <w:tc>
          <w:tcPr>
            <w:tcW w:w="4675" w:type="dxa"/>
          </w:tcPr>
          <w:p w:rsidR="00AE304D"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xml:space="preserve">Data from census with inventory of assets lost, entitlement and socio-economic data, </w:t>
            </w:r>
          </w:p>
          <w:p w:rsidR="00B40555"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Date of receipt, review and approval</w:t>
            </w:r>
          </w:p>
          <w:p w:rsidR="00B40555"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Dates of submission and approval</w:t>
            </w:r>
          </w:p>
          <w:p w:rsidR="00B40555"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Date of disclosure</w:t>
            </w:r>
          </w:p>
        </w:tc>
      </w:tr>
      <w:tr w:rsidR="00AE304D" w:rsidTr="00AE304D">
        <w:tc>
          <w:tcPr>
            <w:tcW w:w="4675" w:type="dxa"/>
          </w:tcPr>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Implementation</w:t>
            </w:r>
          </w:p>
        </w:tc>
        <w:tc>
          <w:tcPr>
            <w:tcW w:w="4675" w:type="dxa"/>
          </w:tcPr>
          <w:p w:rsidR="00AE304D"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Delivery of compensation</w:t>
            </w:r>
          </w:p>
          <w:p w:rsidR="00B40555"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Data on grievance redress</w:t>
            </w:r>
          </w:p>
        </w:tc>
      </w:tr>
      <w:tr w:rsidR="00AE304D" w:rsidTr="00AE304D">
        <w:tc>
          <w:tcPr>
            <w:tcW w:w="4675" w:type="dxa"/>
          </w:tcPr>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Post-Implementation</w:t>
            </w:r>
          </w:p>
        </w:tc>
        <w:tc>
          <w:tcPr>
            <w:tcW w:w="4675" w:type="dxa"/>
          </w:tcPr>
          <w:p w:rsidR="00AE304D" w:rsidRDefault="00B40555"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Evaluation including assessment of economic rehabilitation/income restoration</w:t>
            </w:r>
          </w:p>
        </w:tc>
      </w:tr>
    </w:tbl>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AE304D" w:rsidRDefault="00AE304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024E8E" w:rsidRDefault="004E4E84" w:rsidP="00A40EBB">
      <w:pPr>
        <w:pStyle w:val="Heading1"/>
      </w:pPr>
      <w:bookmarkStart w:id="29" w:name="_Toc483323543"/>
      <w:r w:rsidRPr="00024E8E">
        <w:lastRenderedPageBreak/>
        <w:t>Complaints and Grievance</w:t>
      </w:r>
      <w:bookmarkEnd w:id="29"/>
    </w:p>
    <w:p w:rsidR="004E4E84" w:rsidRPr="00D85187" w:rsidRDefault="004E4E84" w:rsidP="00A40EBB">
      <w:pPr>
        <w:pStyle w:val="Heading2"/>
      </w:pPr>
      <w:bookmarkStart w:id="30" w:name="_Toc483323544"/>
      <w:r w:rsidRPr="00D85187">
        <w:t>Introduction</w:t>
      </w:r>
      <w:bookmarkEnd w:id="30"/>
    </w:p>
    <w:p w:rsidR="004E4E84" w:rsidRDefault="004E4E84" w:rsidP="00A40EBB">
      <w:r w:rsidRPr="0016687E">
        <w:t>The WB requires that appropriate and accessible grievance mechanisms be esta</w:t>
      </w:r>
      <w:r w:rsidR="00D85187">
        <w:t xml:space="preserve">blished for persons affected by </w:t>
      </w:r>
      <w:r w:rsidRPr="0016687E">
        <w:t xml:space="preserve">involuntary land acquisition and their communities. Specifically, OP 4.12 requires </w:t>
      </w:r>
      <w:r w:rsidR="00D85187">
        <w:t xml:space="preserve">that there should be affordable </w:t>
      </w:r>
      <w:r w:rsidRPr="0016687E">
        <w:t xml:space="preserve">and accessible procedures for third-party settlement of disputes arising from land </w:t>
      </w:r>
      <w:r w:rsidR="00D85187">
        <w:t xml:space="preserve">acquisition, and that grievance </w:t>
      </w:r>
      <w:r w:rsidRPr="0016687E">
        <w:t>mechanism should take into account the availability of judicial recourse and co</w:t>
      </w:r>
      <w:r w:rsidR="00D85187">
        <w:t xml:space="preserve">mmunity and traditional dispute </w:t>
      </w:r>
      <w:r w:rsidRPr="0016687E">
        <w:t>settlement mechanisms.</w:t>
      </w:r>
    </w:p>
    <w:p w:rsidR="00D85187" w:rsidRDefault="004E4E84" w:rsidP="00A40EBB">
      <w:r w:rsidRPr="0016687E">
        <w:t>In the Republic of Vanuatu, the affected people will be given several opportunities t</w:t>
      </w:r>
      <w:r w:rsidR="00D85187">
        <w:t xml:space="preserve">o review the survey results and </w:t>
      </w:r>
      <w:r w:rsidRPr="0016687E">
        <w:t>compensation policies during the planning and implementation processes. In th</w:t>
      </w:r>
      <w:r w:rsidR="00D85187">
        <w:t xml:space="preserve">e course of the implementation, </w:t>
      </w:r>
      <w:r w:rsidRPr="0016687E">
        <w:t xml:space="preserve">disputes may arise which require independent resolution. The affected people will </w:t>
      </w:r>
      <w:r w:rsidR="00D85187">
        <w:t xml:space="preserve">be informed of their rights and </w:t>
      </w:r>
      <w:r w:rsidRPr="0016687E">
        <w:t>the grievance redress mechanisms available to them. These mechanisms include traditional forms of conflic</w:t>
      </w:r>
      <w:r w:rsidR="00D85187">
        <w:t xml:space="preserve">t </w:t>
      </w:r>
      <w:r w:rsidRPr="0016687E">
        <w:t>resolution, legal and political means.</w:t>
      </w:r>
    </w:p>
    <w:p w:rsidR="004E4E84" w:rsidRDefault="004E4E84" w:rsidP="00A40EBB">
      <w:r w:rsidRPr="0016687E">
        <w:t>Grievance and Complaints Procedures are set up to:</w:t>
      </w:r>
    </w:p>
    <w:p w:rsidR="004E4E84" w:rsidRPr="0016687E" w:rsidRDefault="004E4E84" w:rsidP="00A40EBB">
      <w:r w:rsidRPr="0016687E">
        <w:t>-     Provide support to affected persons and affected parties on problems arising from land acquisition and</w:t>
      </w:r>
      <w:r w:rsidR="00A40EBB">
        <w:t xml:space="preserve"> </w:t>
      </w:r>
      <w:r w:rsidRPr="0016687E">
        <w:t>associated impacts;</w:t>
      </w:r>
    </w:p>
    <w:p w:rsidR="004E4E84" w:rsidRPr="0016687E" w:rsidRDefault="004E4E84" w:rsidP="00A40EBB">
      <w:r w:rsidRPr="0016687E">
        <w:t>-     Provide a means by which the various conflicting stakeholders may be consulted and negotiated agreement</w:t>
      </w:r>
      <w:r w:rsidR="00D85187">
        <w:t xml:space="preserve"> </w:t>
      </w:r>
      <w:r w:rsidRPr="0016687E">
        <w:t>reached; and</w:t>
      </w:r>
    </w:p>
    <w:p w:rsidR="004E4E84" w:rsidRPr="0016687E" w:rsidRDefault="004E4E84" w:rsidP="00A40EBB">
      <w:r w:rsidRPr="0016687E">
        <w:t>-     Specify names of and contact numbers of officers who will be responsible for handling grievance</w:t>
      </w:r>
      <w:r w:rsidR="00A40EBB">
        <w:t xml:space="preserve"> </w:t>
      </w:r>
      <w:r w:rsidRPr="0016687E">
        <w:t>procedures.</w:t>
      </w:r>
    </w:p>
    <w:p w:rsidR="004E4E84" w:rsidRPr="00D85187" w:rsidRDefault="004E4E84" w:rsidP="00A40EBB">
      <w:pPr>
        <w:pStyle w:val="Heading2"/>
      </w:pPr>
      <w:bookmarkStart w:id="31" w:name="_Toc483323545"/>
      <w:r w:rsidRPr="00D85187">
        <w:t>Grievance and Complaints Procedures</w:t>
      </w:r>
      <w:bookmarkEnd w:id="31"/>
    </w:p>
    <w:p w:rsidR="004E4E84" w:rsidRDefault="004E4E84" w:rsidP="00A40EBB">
      <w:r w:rsidRPr="0016687E">
        <w:t xml:space="preserve">The following levels of Grievance redress are adopted. The </w:t>
      </w:r>
      <w:r w:rsidR="00BD4FF7">
        <w:t>ARAP</w:t>
      </w:r>
      <w:r w:rsidR="00BD4FF7" w:rsidRPr="0016687E">
        <w:t xml:space="preserve"> </w:t>
      </w:r>
      <w:r w:rsidRPr="0016687E">
        <w:t>for relevant co</w:t>
      </w:r>
      <w:r w:rsidR="00D85187">
        <w:t xml:space="preserve">mponent/subproject will specify </w:t>
      </w:r>
      <w:r w:rsidRPr="0016687E">
        <w:t>further details on the grievance redress mechanism.</w:t>
      </w:r>
    </w:p>
    <w:p w:rsidR="004E4E84" w:rsidRPr="00A40EBB" w:rsidRDefault="004E4E84" w:rsidP="00A40EBB">
      <w:pPr>
        <w:rPr>
          <w:b/>
        </w:rPr>
      </w:pPr>
      <w:r w:rsidRPr="00A40EBB">
        <w:rPr>
          <w:b/>
        </w:rPr>
        <w:t>Community Level</w:t>
      </w:r>
    </w:p>
    <w:p w:rsidR="004E4E84" w:rsidRDefault="004E4E84" w:rsidP="00A40EBB">
      <w:r w:rsidRPr="0016687E">
        <w:t>A community committee made up of DP representatives, community representat</w:t>
      </w:r>
      <w:r w:rsidR="00D85187">
        <w:t xml:space="preserve">ives and representatives of the </w:t>
      </w:r>
      <w:r w:rsidRPr="0016687E">
        <w:t>customary owners shall be set up and will meet in the case a complaint is lodg</w:t>
      </w:r>
      <w:r w:rsidR="00D85187">
        <w:t xml:space="preserve">ed10. A decision should be made </w:t>
      </w:r>
      <w:r w:rsidRPr="0016687E">
        <w:t>within 7-days of the complaint being lodged. The committee will be chaired by the Village Chief. In the</w:t>
      </w:r>
      <w:r w:rsidR="00D85187">
        <w:t xml:space="preserve"> event that </w:t>
      </w:r>
      <w:r w:rsidRPr="0016687E">
        <w:t>the Village Chief is a ‘customary owner’, the chair of the committee may be</w:t>
      </w:r>
      <w:r w:rsidR="00D85187">
        <w:t xml:space="preserve"> represented by the community’s </w:t>
      </w:r>
      <w:r w:rsidRPr="0016687E">
        <w:t>religious leader.</w:t>
      </w:r>
    </w:p>
    <w:p w:rsidR="004E4E84" w:rsidRPr="00A40EBB" w:rsidRDefault="004E4E84" w:rsidP="00A40EBB">
      <w:pPr>
        <w:rPr>
          <w:b/>
        </w:rPr>
      </w:pPr>
      <w:r w:rsidRPr="00A40EBB">
        <w:rPr>
          <w:b/>
        </w:rPr>
        <w:t>Project level</w:t>
      </w:r>
    </w:p>
    <w:p w:rsidR="00D85187" w:rsidRDefault="004E4E84" w:rsidP="00A40EBB">
      <w:r w:rsidRPr="0016687E">
        <w:t>If not satisfied with the decision, the complainant has the option to appeal to the Project level, repres</w:t>
      </w:r>
      <w:r w:rsidR="00D85187">
        <w:t xml:space="preserve">ented by the </w:t>
      </w:r>
      <w:r w:rsidR="00BD4FF7">
        <w:t>PMU</w:t>
      </w:r>
      <w:r w:rsidR="00BD4FF7" w:rsidRPr="0016687E">
        <w:t xml:space="preserve"> </w:t>
      </w:r>
      <w:r w:rsidRPr="0016687E">
        <w:t>located in the VGDM for the NAB. A decision must be made within 14 days of receipt of appeal.</w:t>
      </w:r>
    </w:p>
    <w:p w:rsidR="004E4E84" w:rsidRPr="00A40EBB" w:rsidRDefault="004E4E84" w:rsidP="00A40EBB">
      <w:pPr>
        <w:rPr>
          <w:b/>
        </w:rPr>
      </w:pPr>
      <w:r w:rsidRPr="00A40EBB">
        <w:rPr>
          <w:b/>
        </w:rPr>
        <w:t>Customary Land Tribunal</w:t>
      </w:r>
    </w:p>
    <w:p w:rsidR="004E4E84" w:rsidRPr="0016687E" w:rsidRDefault="004E4E84" w:rsidP="00A40EBB">
      <w:r w:rsidRPr="0016687E">
        <w:t>If not satisfied with the Project level decision, the complainant may choose to appeal to the Customary Land</w:t>
      </w:r>
      <w:r w:rsidR="00A40EBB">
        <w:t xml:space="preserve"> </w:t>
      </w:r>
      <w:r w:rsidRPr="0016687E">
        <w:t>Tribunal, as per the current Land acquisition Law. Under the Law and cur</w:t>
      </w:r>
      <w:r w:rsidR="00D85187">
        <w:t xml:space="preserve">rent procedures in Vanuatu, the </w:t>
      </w:r>
      <w:r w:rsidRPr="0016687E">
        <w:t>complaints procedure can last up to 30-days. The decision of the tribunal is gener</w:t>
      </w:r>
      <w:r w:rsidR="00D85187">
        <w:t xml:space="preserve">ally final, unless the tribunal </w:t>
      </w:r>
      <w:r w:rsidRPr="0016687E">
        <w:t>procedures are challenged</w:t>
      </w:r>
      <w:r w:rsidR="00BD4FF7">
        <w:t>.</w:t>
      </w:r>
    </w:p>
    <w:p w:rsidR="00D85187" w:rsidRPr="00A40EBB" w:rsidRDefault="004E4E84" w:rsidP="00A40EBB">
      <w:pPr>
        <w:rPr>
          <w:b/>
        </w:rPr>
      </w:pPr>
      <w:r w:rsidRPr="00A40EBB">
        <w:rPr>
          <w:b/>
        </w:rPr>
        <w:t>Legal Procedures</w:t>
      </w:r>
    </w:p>
    <w:p w:rsidR="004E4E84" w:rsidRPr="0016687E" w:rsidRDefault="004E4E84" w:rsidP="00A40EBB">
      <w:r w:rsidRPr="0016687E">
        <w:lastRenderedPageBreak/>
        <w:t>Further appeal may be made through the Supreme Court of Vanuatu, only in the case that the Customary</w:t>
      </w:r>
      <w:r w:rsidR="00A40EBB">
        <w:t xml:space="preserve"> </w:t>
      </w:r>
      <w:r w:rsidRPr="0016687E">
        <w:t>Tribunal procedures were faulty in the specific case.</w:t>
      </w:r>
    </w:p>
    <w:p w:rsidR="004E4E84" w:rsidRPr="00401FC8" w:rsidRDefault="004E4E84" w:rsidP="00A40EBB">
      <w:pPr>
        <w:pStyle w:val="Heading1"/>
      </w:pPr>
      <w:bookmarkStart w:id="32" w:name="_Toc483323546"/>
      <w:r w:rsidRPr="00401FC8">
        <w:lastRenderedPageBreak/>
        <w:t>Public Consultations</w:t>
      </w:r>
      <w:bookmarkEnd w:id="32"/>
    </w:p>
    <w:p w:rsidR="004E4E84" w:rsidRPr="00401FC8" w:rsidRDefault="004E4E84" w:rsidP="00A40EBB">
      <w:pPr>
        <w:pStyle w:val="Heading2"/>
      </w:pPr>
      <w:bookmarkStart w:id="33" w:name="_Toc483323547"/>
      <w:r w:rsidRPr="00401FC8">
        <w:t>Good Practice Approaches</w:t>
      </w:r>
      <w:bookmarkEnd w:id="33"/>
    </w:p>
    <w:p w:rsidR="004E4E84" w:rsidRDefault="004E4E84" w:rsidP="00A40EBB">
      <w:r w:rsidRPr="0016687E">
        <w:t xml:space="preserve">Successful public consultation involves a range of activities that seek to </w:t>
      </w:r>
      <w:proofErr w:type="spellStart"/>
      <w:r w:rsidRPr="0016687E">
        <w:t>maximise</w:t>
      </w:r>
      <w:proofErr w:type="spellEnd"/>
      <w:r w:rsidR="00401FC8">
        <w:t xml:space="preserve"> the trust and dialogue between </w:t>
      </w:r>
      <w:r w:rsidRPr="0016687E">
        <w:t>the Government and the communities affected by land acquisition and resettl</w:t>
      </w:r>
      <w:r w:rsidR="00401FC8">
        <w:t xml:space="preserve">ement, with the aim of reaching </w:t>
      </w:r>
      <w:r w:rsidRPr="0016687E">
        <w:t>sustainable outcomes for all stakeholders. Key principles for public consultation include:</w:t>
      </w:r>
    </w:p>
    <w:p w:rsidR="004E4E84" w:rsidRPr="0016687E" w:rsidRDefault="004E4E84" w:rsidP="00A40EBB">
      <w:r w:rsidRPr="0016687E">
        <w:t>-       Consulting widely and taking care to reach all affected people;</w:t>
      </w:r>
    </w:p>
    <w:p w:rsidR="004E4E84" w:rsidRPr="0016687E" w:rsidRDefault="004E4E84" w:rsidP="00A40EBB">
      <w:r w:rsidRPr="0016687E">
        <w:t>-       Properly informing landowners of the consequences of land acquisition, the process and their rights;</w:t>
      </w:r>
    </w:p>
    <w:p w:rsidR="004E4E84" w:rsidRPr="0016687E" w:rsidRDefault="004E4E84" w:rsidP="00A40EBB">
      <w:r w:rsidRPr="0016687E">
        <w:t>-       Negotiating with landowners before compulsorily acquiring land;</w:t>
      </w:r>
    </w:p>
    <w:p w:rsidR="004E4E84" w:rsidRPr="0016687E" w:rsidRDefault="004E4E84" w:rsidP="00A40EBB">
      <w:r w:rsidRPr="0016687E">
        <w:t>-       Ensuring landowners have access to independent expert advice during the acquisition process;</w:t>
      </w:r>
    </w:p>
    <w:p w:rsidR="004E4E84" w:rsidRPr="0016687E" w:rsidRDefault="004E4E84" w:rsidP="00A40EBB">
      <w:r w:rsidRPr="0016687E">
        <w:t>-       Ensuring there is coordination among government agencies;</w:t>
      </w:r>
    </w:p>
    <w:p w:rsidR="004E4E84" w:rsidRPr="0016687E" w:rsidRDefault="004E4E84" w:rsidP="00A40EBB">
      <w:r w:rsidRPr="0016687E">
        <w:t>-       Ensuring objectivity in the valuation of land and that the land valuation industry is regulated; and</w:t>
      </w:r>
    </w:p>
    <w:p w:rsidR="004E4E84" w:rsidRPr="0016687E" w:rsidRDefault="004E4E84" w:rsidP="00A40EBB">
      <w:r w:rsidRPr="0016687E">
        <w:t>-       Providing dispute resolu</w:t>
      </w:r>
      <w:r w:rsidR="00401FC8">
        <w:t>tion mechanisms for landowners10.</w:t>
      </w:r>
    </w:p>
    <w:p w:rsidR="004E4E84" w:rsidRPr="00401FC8" w:rsidRDefault="004E4E84" w:rsidP="00A40EBB">
      <w:pPr>
        <w:pStyle w:val="Heading2"/>
      </w:pPr>
      <w:bookmarkStart w:id="34" w:name="_Toc483323548"/>
      <w:r w:rsidRPr="00401FC8">
        <w:t>Public Consultation Process</w:t>
      </w:r>
      <w:bookmarkEnd w:id="34"/>
    </w:p>
    <w:p w:rsidR="004E4E84" w:rsidRDefault="004E4E84" w:rsidP="00A40EBB">
      <w:r w:rsidRPr="0016687E">
        <w:t>The Vanuatu Government has developed a public consultation process tha</w:t>
      </w:r>
      <w:r w:rsidR="00401FC8">
        <w:t xml:space="preserve">t seeks to engage with affected </w:t>
      </w:r>
      <w:r w:rsidRPr="0016687E">
        <w:t>individuals and communities, disclose information publicly and incorporate traditi</w:t>
      </w:r>
      <w:r w:rsidR="00401FC8">
        <w:t xml:space="preserve">onal and administrative / legal </w:t>
      </w:r>
      <w:r w:rsidRPr="0016687E">
        <w:t>grievance dispute mechanisms.</w:t>
      </w:r>
    </w:p>
    <w:p w:rsidR="004E4E84" w:rsidRPr="00A04249" w:rsidRDefault="004E4E84" w:rsidP="00A40EBB">
      <w:pPr>
        <w:pStyle w:val="Heading3"/>
      </w:pPr>
      <w:r w:rsidRPr="00A04249">
        <w:t>Consultation</w:t>
      </w:r>
    </w:p>
    <w:p w:rsidR="004E4E84" w:rsidRDefault="004E4E84" w:rsidP="00A40EBB">
      <w:r w:rsidRPr="0016687E">
        <w:t xml:space="preserve">During project implementation, affected persons consultation and awareness </w:t>
      </w:r>
      <w:r w:rsidR="00401FC8">
        <w:t xml:space="preserve">will be ensured through regular </w:t>
      </w:r>
      <w:r w:rsidRPr="0016687E">
        <w:t>consultation meetings. These will be used to ensure the community (both reside</w:t>
      </w:r>
      <w:r w:rsidR="00401FC8">
        <w:t xml:space="preserve">nts and businesses) is aware of </w:t>
      </w:r>
      <w:r w:rsidRPr="0016687E">
        <w:t xml:space="preserve">the detailed design plans and </w:t>
      </w:r>
      <w:r w:rsidR="00BD4FF7">
        <w:t>ARAP</w:t>
      </w:r>
      <w:r w:rsidR="00BD4FF7" w:rsidRPr="0016687E">
        <w:t xml:space="preserve"> </w:t>
      </w:r>
      <w:r w:rsidRPr="0016687E">
        <w:t>implementation. They will also identify wi</w:t>
      </w:r>
      <w:r w:rsidR="00401FC8">
        <w:t xml:space="preserve">th the affected persons any </w:t>
      </w:r>
      <w:r w:rsidR="00BD4FF7">
        <w:t xml:space="preserve">ARAP </w:t>
      </w:r>
      <w:r w:rsidRPr="0016687E">
        <w:t xml:space="preserve">implementation problems and undertake timely remedial actions in consultation </w:t>
      </w:r>
      <w:r w:rsidR="00401FC8">
        <w:t xml:space="preserve">with affected persons and their </w:t>
      </w:r>
      <w:r w:rsidRPr="0016687E">
        <w:t>representatives.</w:t>
      </w:r>
    </w:p>
    <w:p w:rsidR="004E4E84" w:rsidRDefault="004E4E84" w:rsidP="00A40EBB">
      <w:r w:rsidRPr="0016687E">
        <w:t xml:space="preserve">The </w:t>
      </w:r>
      <w:r w:rsidR="00BD4FF7">
        <w:t>ARAP</w:t>
      </w:r>
      <w:r w:rsidR="00BD4FF7" w:rsidRPr="0016687E">
        <w:t xml:space="preserve"> </w:t>
      </w:r>
      <w:r w:rsidRPr="0016687E">
        <w:t>will be prepared at the end of the detailed design stage of projec</w:t>
      </w:r>
      <w:r w:rsidR="00401FC8">
        <w:t xml:space="preserve">t implementation, at which time </w:t>
      </w:r>
      <w:r w:rsidRPr="0016687E">
        <w:t>resettlement impacts and DP consultation/information awareness will be condu</w:t>
      </w:r>
      <w:r w:rsidR="00401FC8">
        <w:t xml:space="preserve">cted to ensure full stakeholder </w:t>
      </w:r>
      <w:r w:rsidRPr="0016687E">
        <w:t xml:space="preserve">participation occurs in </w:t>
      </w:r>
      <w:r w:rsidR="00BD4FF7">
        <w:t>ARAP</w:t>
      </w:r>
      <w:r w:rsidR="00BD4FF7" w:rsidRPr="0016687E">
        <w:t xml:space="preserve"> </w:t>
      </w:r>
      <w:r w:rsidRPr="0016687E">
        <w:t xml:space="preserve">preparation. This task will be carried out by the </w:t>
      </w:r>
      <w:r w:rsidR="00BD4FF7">
        <w:t>PMU</w:t>
      </w:r>
      <w:r w:rsidR="00BD4FF7" w:rsidRPr="0016687E">
        <w:t xml:space="preserve"> </w:t>
      </w:r>
      <w:r w:rsidRPr="0016687E">
        <w:t>fo</w:t>
      </w:r>
      <w:r w:rsidR="00401FC8">
        <w:t xml:space="preserve">r the NAB who will be in charge </w:t>
      </w:r>
      <w:r w:rsidRPr="0016687E">
        <w:t>of the land acquisition and compensation process under the laws of Vanuatu.</w:t>
      </w:r>
    </w:p>
    <w:p w:rsidR="004E4E84" w:rsidRPr="00A04249" w:rsidRDefault="004E4E84" w:rsidP="00A40EBB">
      <w:pPr>
        <w:pStyle w:val="Heading3"/>
      </w:pPr>
      <w:r w:rsidRPr="00A04249">
        <w:t>Disclosure</w:t>
      </w:r>
    </w:p>
    <w:p w:rsidR="004E4E84" w:rsidRDefault="004E4E84" w:rsidP="00A40EBB">
      <w:r w:rsidRPr="0016687E">
        <w:t xml:space="preserve">The Executive Summary of the </w:t>
      </w:r>
      <w:r w:rsidR="00BD4FF7">
        <w:t>ARAP</w:t>
      </w:r>
      <w:r w:rsidRPr="0016687E">
        <w:t>, will be translated and disclosed to all affected parties in the loc</w:t>
      </w:r>
      <w:r w:rsidR="00401FC8">
        <w:t xml:space="preserve">al </w:t>
      </w:r>
      <w:r w:rsidRPr="0016687E">
        <w:t xml:space="preserve">language(s), including </w:t>
      </w:r>
      <w:proofErr w:type="spellStart"/>
      <w:r w:rsidRPr="0016687E">
        <w:t>Bislama</w:t>
      </w:r>
      <w:proofErr w:type="spellEnd"/>
      <w:r w:rsidRPr="0016687E">
        <w:t xml:space="preserve">, French and English, as needed. Copies of the </w:t>
      </w:r>
      <w:r w:rsidR="00BD4FF7">
        <w:t xml:space="preserve">ARAP </w:t>
      </w:r>
      <w:r w:rsidR="00401FC8">
        <w:t xml:space="preserve">will be made available at a </w:t>
      </w:r>
      <w:r w:rsidRPr="0016687E">
        <w:t>designated public office.</w:t>
      </w:r>
      <w:r w:rsidR="00A40EBB">
        <w:t xml:space="preserve">  </w:t>
      </w:r>
      <w:r w:rsidRPr="0016687E">
        <w:t xml:space="preserve">Furthermore, disclosure will be a condition to proceed to </w:t>
      </w:r>
      <w:r w:rsidR="00BD4FF7">
        <w:t>ARAP</w:t>
      </w:r>
      <w:r w:rsidR="00BD4FF7" w:rsidRPr="0016687E">
        <w:t xml:space="preserve"> </w:t>
      </w:r>
      <w:r w:rsidRPr="0016687E">
        <w:t>implementation, a</w:t>
      </w:r>
      <w:r w:rsidR="00401FC8">
        <w:t xml:space="preserve">nd will follow the requirements </w:t>
      </w:r>
      <w:r w:rsidRPr="0016687E">
        <w:t>under the Laws of Vanuatu and WB requirements:</w:t>
      </w:r>
    </w:p>
    <w:p w:rsidR="004E4E84" w:rsidRPr="0016687E" w:rsidRDefault="004E4E84" w:rsidP="00A40EBB">
      <w:r w:rsidRPr="0016687E">
        <w:t xml:space="preserve">-       A notice of intent to inquire land will be disclosed on the site for 30 days prior to </w:t>
      </w:r>
      <w:r w:rsidR="00BD4FF7">
        <w:t>ARAP</w:t>
      </w:r>
      <w:r w:rsidR="00BD4FF7" w:rsidRPr="0016687E">
        <w:t xml:space="preserve"> </w:t>
      </w:r>
      <w:r w:rsidRPr="0016687E">
        <w:t>completion and</w:t>
      </w:r>
      <w:r w:rsidR="00A40EBB">
        <w:t xml:space="preserve"> </w:t>
      </w:r>
      <w:r w:rsidRPr="0016687E">
        <w:t xml:space="preserve">approval by the </w:t>
      </w:r>
      <w:r w:rsidR="00BD4FF7">
        <w:t>PMU</w:t>
      </w:r>
      <w:r w:rsidRPr="0016687E">
        <w:t xml:space="preserve"> for the NAB.</w:t>
      </w:r>
    </w:p>
    <w:p w:rsidR="004E4E84" w:rsidRPr="0016687E" w:rsidRDefault="004E4E84" w:rsidP="00A40EBB">
      <w:r w:rsidRPr="0016687E">
        <w:t xml:space="preserve">-       The </w:t>
      </w:r>
      <w:r w:rsidR="00BD4FF7">
        <w:t>ARAP</w:t>
      </w:r>
      <w:r w:rsidR="00BD4FF7" w:rsidRPr="0016687E">
        <w:t xml:space="preserve"> </w:t>
      </w:r>
      <w:r w:rsidRPr="0016687E">
        <w:t>will be provided to the affected persons, and to the customary land holders (if any identified and</w:t>
      </w:r>
      <w:r w:rsidR="00401FC8">
        <w:t xml:space="preserve"> </w:t>
      </w:r>
      <w:r w:rsidRPr="0016687E">
        <w:t>have legal claim to the land) or the trustees.</w:t>
      </w:r>
    </w:p>
    <w:p w:rsidR="004E4E84" w:rsidRPr="0016687E" w:rsidRDefault="004E4E84" w:rsidP="00A40EBB">
      <w:r w:rsidRPr="0016687E">
        <w:t xml:space="preserve">-       After </w:t>
      </w:r>
      <w:r w:rsidR="00BD4FF7">
        <w:t>ARAP</w:t>
      </w:r>
      <w:r w:rsidR="00BD4FF7" w:rsidRPr="0016687E">
        <w:t xml:space="preserve"> </w:t>
      </w:r>
      <w:r w:rsidRPr="0016687E">
        <w:t>is endorsed by the NAB and other government agencies and approved by WB, the land</w:t>
      </w:r>
      <w:r w:rsidR="00A40EBB">
        <w:t xml:space="preserve"> a</w:t>
      </w:r>
      <w:r w:rsidRPr="0016687E">
        <w:t>cquisition notice will be published in the newspaper, on radio and a notice placed on the site in order to</w:t>
      </w:r>
      <w:r w:rsidR="00401FC8">
        <w:t xml:space="preserve"> </w:t>
      </w:r>
      <w:r w:rsidRPr="0016687E">
        <w:t>comply with Vanuatu disclosure laws in full.</w:t>
      </w:r>
    </w:p>
    <w:p w:rsidR="004E4E84" w:rsidRPr="0016687E" w:rsidRDefault="004E4E84" w:rsidP="00A40EBB">
      <w:r w:rsidRPr="0016687E">
        <w:lastRenderedPageBreak/>
        <w:t xml:space="preserve">-       The </w:t>
      </w:r>
      <w:r w:rsidR="00BD4FF7">
        <w:t>ARAP</w:t>
      </w:r>
      <w:r w:rsidR="00BD4FF7" w:rsidRPr="0016687E">
        <w:t xml:space="preserve"> </w:t>
      </w:r>
      <w:r w:rsidRPr="0016687E">
        <w:t>will similarly be disclosed on the Government (or similar) Website. Monitoring reports on         implementation will also be disclosed locally and posted on Government (or similar) website.</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br w:type="page"/>
      </w:r>
    </w:p>
    <w:p w:rsidR="004E4E84" w:rsidRPr="00024E8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9A0000"/>
          <w:sz w:val="28"/>
          <w:szCs w:val="28"/>
        </w:rPr>
      </w:pPr>
      <w:r w:rsidRPr="00024E8E">
        <w:rPr>
          <w:rFonts w:eastAsia="Times New Roman" w:cs="Arial"/>
          <w:b/>
          <w:color w:val="9A0000"/>
          <w:sz w:val="28"/>
          <w:szCs w:val="28"/>
        </w:rPr>
        <w:lastRenderedPageBreak/>
        <w:t>Appendix A</w:t>
      </w:r>
    </w:p>
    <w:p w:rsidR="004E4E84" w:rsidRPr="0016687E" w:rsidRDefault="00024E8E"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024E8E">
        <w:rPr>
          <w:rFonts w:eastAsia="Times New Roman" w:cs="Arial"/>
          <w:noProof/>
          <w:szCs w:val="20"/>
          <w:lang w:val="en-NZ" w:eastAsia="en-NZ"/>
        </w:rPr>
        <mc:AlternateContent>
          <mc:Choice Requires="wps">
            <w:drawing>
              <wp:anchor distT="45720" distB="45720" distL="114300" distR="114300" simplePos="0" relativeHeight="251659264" behindDoc="0" locked="0" layoutInCell="1" allowOverlap="1" wp14:anchorId="2D6214CA" wp14:editId="26C44B3F">
                <wp:simplePos x="0" y="0"/>
                <wp:positionH relativeFrom="margin">
                  <wp:align>right</wp:align>
                </wp:positionH>
                <wp:positionV relativeFrom="paragraph">
                  <wp:posOffset>268605</wp:posOffset>
                </wp:positionV>
                <wp:extent cx="5953125" cy="736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362825"/>
                        </a:xfrm>
                        <a:prstGeom prst="rect">
                          <a:avLst/>
                        </a:prstGeom>
                        <a:solidFill>
                          <a:srgbClr val="CC0066"/>
                        </a:solidFill>
                        <a:ln w="9525">
                          <a:solidFill>
                            <a:srgbClr val="000000"/>
                          </a:solidFill>
                          <a:miter lim="800000"/>
                          <a:headEnd/>
                          <a:tailEnd/>
                        </a:ln>
                      </wps:spPr>
                      <wps:txbx>
                        <w:txbxContent>
                          <w:p w:rsidR="002A2C61" w:rsidRPr="00024E8E" w:rsidRDefault="002A2C61">
                            <w:pPr>
                              <w:rPr>
                                <w:color w:val="FFFFFF" w:themeColor="background1"/>
                                <w:sz w:val="96"/>
                                <w:szCs w:val="96"/>
                              </w:rPr>
                            </w:pPr>
                            <w:r>
                              <w:rPr>
                                <w:color w:val="FFFFFF" w:themeColor="background1"/>
                                <w:sz w:val="96"/>
                                <w:szCs w:val="96"/>
                              </w:rPr>
                              <w:t xml:space="preserve">Outline of an Abbreviated Resettlement </w:t>
                            </w:r>
                            <w:r w:rsidRPr="00024E8E">
                              <w:rPr>
                                <w:color w:val="FFFFFF" w:themeColor="background1"/>
                                <w:sz w:val="96"/>
                                <w:szCs w:val="96"/>
                              </w:rPr>
                              <w:t>Action Plan</w:t>
                            </w:r>
                            <w:r>
                              <w:rPr>
                                <w:color w:val="FFFFFF" w:themeColor="background1"/>
                                <w:sz w:val="96"/>
                                <w:szCs w:val="96"/>
                              </w:rPr>
                              <w:t xml:space="preserve"> (ARAP)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55pt;margin-top:21.15pt;width:468.75pt;height:57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" fillcolor="#c06">
                <v:textbox>
                  <w:txbxContent>
                    <w:p w:rsidR="002A2C61" w:rsidRPr="00024E8E" w:rsidRDefault="002A2C61">
                      <w:pPr>
                        <w:rPr>
                          <w:color w:val="FFFFFF" w:themeColor="background1"/>
                          <w:sz w:val="96"/>
                          <w:szCs w:val="96"/>
                        </w:rPr>
                      </w:pPr>
                      <w:r>
                        <w:rPr>
                          <w:color w:val="FFFFFF" w:themeColor="background1"/>
                          <w:sz w:val="96"/>
                          <w:szCs w:val="96"/>
                        </w:rPr>
                        <w:t xml:space="preserve">Outline of an Abbreviated Resettlement </w:t>
                      </w:r>
                      <w:r w:rsidRPr="00024E8E">
                        <w:rPr>
                          <w:color w:val="FFFFFF" w:themeColor="background1"/>
                          <w:sz w:val="96"/>
                          <w:szCs w:val="96"/>
                        </w:rPr>
                        <w:t>Action Plan</w:t>
                      </w:r>
                      <w:r>
                        <w:rPr>
                          <w:color w:val="FFFFFF" w:themeColor="background1"/>
                          <w:sz w:val="96"/>
                          <w:szCs w:val="96"/>
                        </w:rPr>
                        <w:t xml:space="preserve"> (ARAP)</w:t>
                      </w:r>
                    </w:p>
                  </w:txbxContent>
                </v:textbox>
                <w10:wrap type="square" anchorx="margin"/>
              </v:shape>
            </w:pict>
          </mc:Fallback>
        </mc:AlternateContent>
      </w:r>
    </w:p>
    <w:p w:rsidR="00024E8E" w:rsidRDefault="00024E8E"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5D6C66" w:rsidRDefault="004E4E84" w:rsidP="00A40EBB">
      <w:pPr>
        <w:pStyle w:val="AppendixTitle"/>
      </w:pPr>
      <w:bookmarkStart w:id="35" w:name="_Toc483323549"/>
      <w:r w:rsidRPr="005D6C66">
        <w:lastRenderedPageBreak/>
        <w:t xml:space="preserve">Appendix </w:t>
      </w:r>
      <w:proofErr w:type="spellStart"/>
      <w:proofErr w:type="gramStart"/>
      <w:r w:rsidRPr="005D6C66">
        <w:t>A</w:t>
      </w:r>
      <w:proofErr w:type="spellEnd"/>
      <w:proofErr w:type="gramEnd"/>
      <w:r w:rsidRPr="005D6C66">
        <w:t xml:space="preserve">                   Outline of a</w:t>
      </w:r>
      <w:r w:rsidR="00EF5B3F">
        <w:t>n Abbreviated</w:t>
      </w:r>
      <w:r w:rsidRPr="005D6C66">
        <w:t xml:space="preserve"> </w:t>
      </w:r>
      <w:r w:rsidR="004455E3">
        <w:t>Resettlement</w:t>
      </w:r>
      <w:r w:rsidR="00D81AA2" w:rsidRPr="005D6C66">
        <w:t xml:space="preserve"> </w:t>
      </w:r>
      <w:r w:rsidRPr="005D6C66">
        <w:t>Action Plan</w:t>
      </w:r>
      <w:bookmarkEnd w:id="35"/>
    </w:p>
    <w:p w:rsidR="005D6C66" w:rsidRPr="0016687E" w:rsidRDefault="005D6C66" w:rsidP="00A40EBB"/>
    <w:p w:rsidR="004E4E84" w:rsidRPr="0016687E" w:rsidRDefault="004E4E84" w:rsidP="00A40EBB">
      <w:r w:rsidRPr="0016687E">
        <w:t>An abbreviated plan covers the following minimum elements:</w:t>
      </w:r>
    </w:p>
    <w:p w:rsidR="004E4E84" w:rsidRPr="0016687E" w:rsidRDefault="004E4E84" w:rsidP="00A40EBB">
      <w:r w:rsidRPr="0016687E">
        <w:t>a)     A census survey of affected persons and valuation of assets;</w:t>
      </w:r>
    </w:p>
    <w:p w:rsidR="004E4E84" w:rsidRPr="0016687E" w:rsidRDefault="004E4E84" w:rsidP="00A40EBB">
      <w:r w:rsidRPr="0016687E">
        <w:t>b)     Description of compensation assistance to be provided;</w:t>
      </w:r>
    </w:p>
    <w:p w:rsidR="004E4E84" w:rsidRPr="0016687E" w:rsidRDefault="004E4E84" w:rsidP="00A40EBB">
      <w:r w:rsidRPr="0016687E">
        <w:t>c)     Consultations with affected people about acceptable alternatives;</w:t>
      </w:r>
    </w:p>
    <w:p w:rsidR="004E4E84" w:rsidRPr="0016687E" w:rsidRDefault="004E4E84" w:rsidP="00A40EBB">
      <w:r w:rsidRPr="0016687E">
        <w:t>d)     Institutional responsibility for implementation and procedures for grievance redress;</w:t>
      </w:r>
    </w:p>
    <w:p w:rsidR="004E4E84" w:rsidRPr="0016687E" w:rsidRDefault="004E4E84" w:rsidP="00A40EBB">
      <w:r w:rsidRPr="0016687E">
        <w:t>e)     Arrangements for monitoring and implementation; and</w:t>
      </w:r>
    </w:p>
    <w:p w:rsidR="004E4E84" w:rsidRPr="0016687E" w:rsidRDefault="004E4E84" w:rsidP="00A40EBB">
      <w:r w:rsidRPr="0016687E">
        <w:t>f)     A timetable and budget.</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0540D" w:rsidRDefault="0050540D"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5B6B40" w:rsidRDefault="004E4E84" w:rsidP="00A40EBB">
      <w:pPr>
        <w:pStyle w:val="AppendixCover"/>
      </w:pPr>
      <w:r w:rsidRPr="005B6B40">
        <w:lastRenderedPageBreak/>
        <w:t>Appendix B</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D21031"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D21031">
        <w:rPr>
          <w:rFonts w:eastAsia="Times New Roman" w:cs="Arial"/>
          <w:noProof/>
          <w:szCs w:val="20"/>
          <w:lang w:val="en-NZ" w:eastAsia="en-NZ"/>
        </w:rPr>
        <mc:AlternateContent>
          <mc:Choice Requires="wps">
            <w:drawing>
              <wp:anchor distT="45720" distB="45720" distL="114300" distR="114300" simplePos="0" relativeHeight="251661312" behindDoc="0" locked="0" layoutInCell="1" allowOverlap="1" wp14:anchorId="60B3B8A1" wp14:editId="69BED805">
                <wp:simplePos x="0" y="0"/>
                <wp:positionH relativeFrom="margin">
                  <wp:align>right</wp:align>
                </wp:positionH>
                <wp:positionV relativeFrom="paragraph">
                  <wp:posOffset>297180</wp:posOffset>
                </wp:positionV>
                <wp:extent cx="5924550" cy="7239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39000"/>
                        </a:xfrm>
                        <a:prstGeom prst="rect">
                          <a:avLst/>
                        </a:prstGeom>
                        <a:solidFill>
                          <a:srgbClr val="FFFFFF"/>
                        </a:solidFill>
                        <a:ln w="9525">
                          <a:solidFill>
                            <a:srgbClr val="000000"/>
                          </a:solidFill>
                          <a:miter lim="800000"/>
                          <a:headEnd/>
                          <a:tailEnd/>
                        </a:ln>
                      </wps:spPr>
                      <wps:txbx>
                        <w:txbxContent>
                          <w:p w:rsidR="002A2C61" w:rsidRPr="005B6B40" w:rsidRDefault="002A2C61" w:rsidP="00D21031">
                            <w:pPr>
                              <w:shd w:val="clear" w:color="auto" w:fill="FF0066"/>
                              <w:rPr>
                                <w:color w:val="FFFFFF" w:themeColor="background1"/>
                                <w:sz w:val="96"/>
                                <w:szCs w:val="96"/>
                              </w:rPr>
                            </w:pPr>
                            <w:r w:rsidRPr="005B6B40">
                              <w:rPr>
                                <w:color w:val="FFFFFF" w:themeColor="background1"/>
                                <w:sz w:val="96"/>
                                <w:szCs w:val="96"/>
                              </w:rPr>
                              <w:t>Checklist for Land Acquisition Impacts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3pt;margin-top:23.4pt;width:466.5pt;height:57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">
                <v:textbox>
                  <w:txbxContent>
                    <w:p w:rsidR="002A2C61" w:rsidRPr="005B6B40" w:rsidRDefault="002A2C61" w:rsidP="00D21031">
                      <w:pPr>
                        <w:shd w:val="clear" w:color="auto" w:fill="FF0066"/>
                        <w:rPr>
                          <w:color w:val="FFFFFF" w:themeColor="background1"/>
                          <w:sz w:val="96"/>
                          <w:szCs w:val="96"/>
                        </w:rPr>
                      </w:pPr>
                      <w:r w:rsidRPr="005B6B40">
                        <w:rPr>
                          <w:color w:val="FFFFFF" w:themeColor="background1"/>
                          <w:sz w:val="96"/>
                          <w:szCs w:val="96"/>
                        </w:rPr>
                        <w:t>Checklist for Land Acquisition Impacts</w:t>
                      </w:r>
                    </w:p>
                  </w:txbxContent>
                </v:textbox>
                <w10:wrap type="square" anchorx="margin"/>
              </v:shape>
            </w:pict>
          </mc:Fallback>
        </mc:AlternateContent>
      </w:r>
    </w:p>
    <w:p w:rsidR="005B6B40" w:rsidRDefault="005B6B4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5B6B40" w:rsidRDefault="004E4E84" w:rsidP="00A40EBB">
      <w:pPr>
        <w:pStyle w:val="AppendixTitle"/>
      </w:pPr>
      <w:bookmarkStart w:id="36" w:name="_Toc483323550"/>
      <w:r w:rsidRPr="005B6B40">
        <w:lastRenderedPageBreak/>
        <w:t>Appendix B                   Checklist for Land Acquisition Impacts</w:t>
      </w:r>
      <w:bookmarkEnd w:id="36"/>
    </w:p>
    <w:p w:rsidR="005B6B40" w:rsidRPr="0016687E" w:rsidRDefault="005B6B4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1905"/>
        <w:gridCol w:w="1260"/>
        <w:gridCol w:w="1680"/>
        <w:gridCol w:w="1785"/>
        <w:gridCol w:w="2720"/>
      </w:tblGrid>
      <w:tr w:rsidR="005B6B40" w:rsidRPr="005B6B40" w:rsidTr="003A02B7">
        <w:trPr>
          <w:trHeight w:val="95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B6B40">
              <w:rPr>
                <w:rFonts w:eastAsia="Times New Roman" w:cs="Arial"/>
                <w:b/>
                <w:szCs w:val="20"/>
              </w:rPr>
              <w:t>Sub-project Title:</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B6B40">
              <w:rPr>
                <w:rFonts w:eastAsia="Times New Roman" w:cs="Arial"/>
                <w:b/>
                <w:szCs w:val="20"/>
              </w:rPr>
              <w:t>Location and Impact area:</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B6B40">
              <w:rPr>
                <w:rFonts w:eastAsia="Times New Roman" w:cs="Arial"/>
                <w:b/>
                <w:szCs w:val="20"/>
              </w:rPr>
              <w:t>Date:</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b/>
                <w:szCs w:val="20"/>
              </w:rPr>
              <w:t>Type of intervention:</w:t>
            </w:r>
          </w:p>
        </w:tc>
      </w:tr>
      <w:tr w:rsidR="005B6B40" w:rsidRPr="005B6B40" w:rsidTr="005B6B40">
        <w:tc>
          <w:tcPr>
            <w:tcW w:w="1905" w:type="dxa"/>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B6B40">
              <w:rPr>
                <w:rFonts w:eastAsia="Times New Roman" w:cs="Arial"/>
                <w:b/>
                <w:szCs w:val="20"/>
              </w:rPr>
              <w:t>Probable Effects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p>
          <w:p w:rsid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60" w:type="dxa"/>
          </w:tcPr>
          <w:p w:rsidR="005B6B40" w:rsidRDefault="005B6B40" w:rsidP="005B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
              <w:rPr>
                <w:rFonts w:eastAsia="Times New Roman" w:cs="Arial"/>
                <w:szCs w:val="20"/>
              </w:rPr>
            </w:pPr>
            <w:r w:rsidRPr="005B6B40">
              <w:rPr>
                <w:rFonts w:eastAsia="Times New Roman" w:cs="Arial"/>
                <w:szCs w:val="20"/>
              </w:rPr>
              <w:t>Yes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680" w:type="dxa"/>
          </w:tcPr>
          <w:p w:rsidR="005B6B40" w:rsidRDefault="005B6B40" w:rsidP="005B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2"/>
              <w:rPr>
                <w:rFonts w:eastAsia="Times New Roman" w:cs="Arial"/>
                <w:szCs w:val="20"/>
              </w:rPr>
            </w:pPr>
            <w:r w:rsidRPr="005B6B40">
              <w:rPr>
                <w:rFonts w:eastAsia="Times New Roman" w:cs="Arial"/>
                <w:szCs w:val="20"/>
              </w:rPr>
              <w:t>No</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785" w:type="dxa"/>
          </w:tcPr>
          <w:p w:rsidR="005B6B40" w:rsidRDefault="005B6B40" w:rsidP="005B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Not</w:t>
            </w:r>
            <w:r>
              <w:rPr>
                <w:rFonts w:eastAsia="Times New Roman" w:cs="Arial"/>
                <w:szCs w:val="20"/>
              </w:rPr>
              <w:t xml:space="preserve"> known</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2720" w:type="dxa"/>
          </w:tcPr>
          <w:p w:rsidR="005B6B40" w:rsidRDefault="005B6B40" w:rsidP="005B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Times New Roman" w:cs="Arial"/>
                <w:szCs w:val="20"/>
              </w:rPr>
            </w:pPr>
            <w:r w:rsidRPr="005B6B40">
              <w:rPr>
                <w:rFonts w:eastAsia="Times New Roman" w:cs="Arial"/>
                <w:szCs w:val="20"/>
              </w:rPr>
              <w:t>Remarks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0"/>
              </w:rPr>
            </w:pPr>
            <w:r w:rsidRPr="005B6B40">
              <w:rPr>
                <w:rFonts w:eastAsia="Times New Roman" w:cs="Arial"/>
                <w:b/>
                <w:szCs w:val="20"/>
              </w:rPr>
              <w:t>Acquisition of Land</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1. Will there be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2. Is the site for land acquisition known?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3. Is the ownership status and current usage of land to be acquired known?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 xml:space="preserve">4. Will easement be </w:t>
            </w:r>
            <w:proofErr w:type="spellStart"/>
            <w:r w:rsidRPr="005B6B40">
              <w:rPr>
                <w:rFonts w:eastAsia="Times New Roman" w:cs="Arial"/>
                <w:szCs w:val="20"/>
              </w:rPr>
              <w:t>utilised</w:t>
            </w:r>
            <w:proofErr w:type="spellEnd"/>
            <w:r w:rsidRPr="005B6B40">
              <w:rPr>
                <w:rFonts w:eastAsia="Times New Roman" w:cs="Arial"/>
                <w:szCs w:val="20"/>
              </w:rPr>
              <w:t xml:space="preserve"> within an existing Right of Way (ROW)?</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5. Will there be loss of shelter and residential land due to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6. Will there be loss of agricultural and other productive assets due to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7. Will there be losses of crops, trees, and fixed assets due to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8. Will there be loss of businesses or enterprises due to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9. Will there be loss of income sources and means of livelihoods due to land acquisition?</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Involuntary restrictions on land use or on access to legally designated parks and protected areas</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10. Will people lose access to natural resources, communal facilities and services?</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11. If land use is changed, will it have an adverse impact on social and economic activities?</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12. Will access to land and resources owned communally or by the state be restricted?</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Any estimate of the likely number of persons affected by the Project? [ ] No [ ] Yes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If yes, approximately how many?</w:t>
            </w:r>
          </w:p>
        </w:tc>
      </w:tr>
      <w:tr w:rsidR="005B6B40" w:rsidRPr="005B6B40" w:rsidTr="003A02B7">
        <w:trPr>
          <w:trHeight w:val="470"/>
        </w:trPr>
        <w:tc>
          <w:tcPr>
            <w:tcW w:w="9350" w:type="dxa"/>
            <w:gridSpan w:val="5"/>
          </w:tcPr>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Are any of them poor, female-heads of households, young or vulnerable to poverty risks?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5B6B40">
              <w:rPr>
                <w:rFonts w:eastAsia="Times New Roman" w:cs="Arial"/>
                <w:szCs w:val="20"/>
              </w:rPr>
              <w:t>[ ] No [ ] Yes</w:t>
            </w:r>
          </w:p>
        </w:tc>
      </w:tr>
      <w:tr w:rsidR="005B6B40" w:rsidRPr="005B6B40" w:rsidTr="003A02B7">
        <w:trPr>
          <w:trHeight w:val="470"/>
        </w:trPr>
        <w:tc>
          <w:tcPr>
            <w:tcW w:w="9350" w:type="dxa"/>
            <w:gridSpan w:val="5"/>
          </w:tcPr>
          <w:p w:rsidR="005B6B40" w:rsidRPr="0016687E" w:rsidRDefault="005B6B40" w:rsidP="005B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sidRPr="0016687E">
              <w:rPr>
                <w:rFonts w:eastAsia="Times New Roman" w:cs="Arial"/>
                <w:szCs w:val="20"/>
              </w:rPr>
              <w:t>Are affected persons from indigenous or ethnic minority groups?</w:t>
            </w:r>
          </w:p>
          <w:p w:rsidR="005B6B40" w:rsidRPr="005B6B40" w:rsidRDefault="005B6B40" w:rsidP="003A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r>
              <w:rPr>
                <w:rFonts w:eastAsia="Times New Roman" w:cs="Arial"/>
                <w:szCs w:val="20"/>
              </w:rPr>
              <w:t>[ ] No [ ] Yes</w:t>
            </w:r>
          </w:p>
        </w:tc>
      </w:tr>
    </w:tbl>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br w:type="page"/>
      </w:r>
    </w:p>
    <w:p w:rsidR="00D15A70" w:rsidRDefault="00D15A70" w:rsidP="00A40EBB">
      <w:pPr>
        <w:pStyle w:val="AppendixCover"/>
      </w:pPr>
      <w:r w:rsidRPr="00787472">
        <w:rPr>
          <w:noProof/>
          <w:szCs w:val="20"/>
          <w:lang w:val="en-NZ" w:eastAsia="en-NZ"/>
        </w:rPr>
        <w:lastRenderedPageBreak/>
        <mc:AlternateContent>
          <mc:Choice Requires="wps">
            <w:drawing>
              <wp:anchor distT="45720" distB="45720" distL="114300" distR="114300" simplePos="0" relativeHeight="251663360" behindDoc="0" locked="0" layoutInCell="1" allowOverlap="1" wp14:anchorId="03AE009A" wp14:editId="4559C985">
                <wp:simplePos x="0" y="0"/>
                <wp:positionH relativeFrom="margin">
                  <wp:align>right</wp:align>
                </wp:positionH>
                <wp:positionV relativeFrom="paragraph">
                  <wp:posOffset>577850</wp:posOffset>
                </wp:positionV>
                <wp:extent cx="5915025" cy="7477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77125"/>
                        </a:xfrm>
                        <a:prstGeom prst="rect">
                          <a:avLst/>
                        </a:prstGeom>
                        <a:solidFill>
                          <a:srgbClr val="FFFFFF"/>
                        </a:solidFill>
                        <a:ln w="9525">
                          <a:solidFill>
                            <a:srgbClr val="000000"/>
                          </a:solidFill>
                          <a:miter lim="800000"/>
                          <a:headEnd/>
                          <a:tailEnd/>
                        </a:ln>
                      </wps:spPr>
                      <wps:txbx>
                        <w:txbxContent>
                          <w:p w:rsidR="002A2C61" w:rsidRPr="00787472" w:rsidRDefault="002A2C61" w:rsidP="00787472">
                            <w:pPr>
                              <w:shd w:val="clear" w:color="auto" w:fill="FF0066"/>
                              <w:rPr>
                                <w:color w:val="FFFFFF" w:themeColor="background1"/>
                                <w:sz w:val="96"/>
                                <w:szCs w:val="96"/>
                              </w:rPr>
                            </w:pPr>
                            <w:r w:rsidRPr="00787472">
                              <w:rPr>
                                <w:color w:val="FFFFFF" w:themeColor="background1"/>
                                <w:sz w:val="96"/>
                                <w:szCs w:val="96"/>
                              </w:rPr>
                              <w:t>Inventory of Assets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4.55pt;margin-top:45.5pt;width:465.75pt;height:58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">
                <v:textbox>
                  <w:txbxContent>
                    <w:p w:rsidR="002A2C61" w:rsidRPr="00787472" w:rsidRDefault="002A2C61" w:rsidP="00787472">
                      <w:pPr>
                        <w:shd w:val="clear" w:color="auto" w:fill="FF0066"/>
                        <w:rPr>
                          <w:color w:val="FFFFFF" w:themeColor="background1"/>
                          <w:sz w:val="96"/>
                          <w:szCs w:val="96"/>
                        </w:rPr>
                      </w:pPr>
                      <w:r w:rsidRPr="00787472">
                        <w:rPr>
                          <w:color w:val="FFFFFF" w:themeColor="background1"/>
                          <w:sz w:val="96"/>
                          <w:szCs w:val="96"/>
                        </w:rPr>
                        <w:t>Inventory of Assets</w:t>
                      </w:r>
                    </w:p>
                  </w:txbxContent>
                </v:textbox>
                <w10:wrap type="square" anchorx="margin"/>
              </v:shape>
            </w:pict>
          </mc:Fallback>
        </mc:AlternateContent>
      </w:r>
      <w:r>
        <w:t>Appendix C</w:t>
      </w:r>
    </w:p>
    <w:p w:rsidR="00787472" w:rsidRPr="00D15A70" w:rsidRDefault="00787472"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C00000"/>
          <w:sz w:val="28"/>
          <w:szCs w:val="28"/>
        </w:rPr>
        <w:sectPr w:rsidR="00787472" w:rsidRPr="00D15A70" w:rsidSect="000951DC">
          <w:pgSz w:w="12240" w:h="15840"/>
          <w:pgMar w:top="1440" w:right="1440" w:bottom="1440" w:left="1440" w:header="720" w:footer="720" w:gutter="0"/>
          <w:cols w:space="720"/>
          <w:docGrid w:linePitch="360"/>
        </w:sectPr>
      </w:pPr>
    </w:p>
    <w:p w:rsidR="00787472" w:rsidRPr="00787472" w:rsidRDefault="00787472" w:rsidP="00A40EBB">
      <w:pPr>
        <w:pStyle w:val="AppendixTitle"/>
      </w:pPr>
      <w:bookmarkStart w:id="37" w:name="_Toc483323551"/>
      <w:r w:rsidRPr="00787472">
        <w:lastRenderedPageBreak/>
        <w:t xml:space="preserve">Appendix C </w:t>
      </w:r>
      <w:r w:rsidRPr="00787472">
        <w:tab/>
      </w:r>
      <w:r w:rsidRPr="00787472">
        <w:tab/>
      </w:r>
      <w:r w:rsidRPr="00787472">
        <w:tab/>
        <w:t>Inventory of Assets</w:t>
      </w:r>
      <w:bookmarkEnd w:id="37"/>
    </w:p>
    <w:p w:rsidR="00787472" w:rsidRPr="0016687E" w:rsidRDefault="00787472"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Component:       </w:t>
      </w:r>
      <w:r w:rsidR="0084482C">
        <w:rPr>
          <w:rFonts w:eastAsia="Times New Roman" w:cs="Arial"/>
          <w:szCs w:val="20"/>
        </w:rPr>
        <w:tab/>
      </w:r>
      <w:r w:rsidRPr="0016687E">
        <w:rPr>
          <w:rFonts w:eastAsia="Times New Roman" w:cs="Arial"/>
          <w:szCs w:val="20"/>
        </w:rPr>
        <w:t xml:space="preserve"> _______________________</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Village:         </w:t>
      </w:r>
      <w:r w:rsidR="0084482C">
        <w:rPr>
          <w:rFonts w:eastAsia="Times New Roman" w:cs="Arial"/>
          <w:szCs w:val="20"/>
        </w:rPr>
        <w:tab/>
      </w:r>
      <w:r w:rsidRPr="0016687E">
        <w:rPr>
          <w:rFonts w:eastAsia="Times New Roman" w:cs="Arial"/>
          <w:szCs w:val="20"/>
        </w:rPr>
        <w:t xml:space="preserve"> _______________________</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District:        </w:t>
      </w:r>
      <w:r w:rsidR="0084482C">
        <w:rPr>
          <w:rFonts w:eastAsia="Times New Roman" w:cs="Arial"/>
          <w:szCs w:val="20"/>
        </w:rPr>
        <w:tab/>
      </w:r>
      <w:r w:rsidRPr="0016687E">
        <w:rPr>
          <w:rFonts w:eastAsia="Times New Roman" w:cs="Arial"/>
          <w:szCs w:val="20"/>
        </w:rPr>
        <w:t xml:space="preserve"> _______________________</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Validity Date:   </w:t>
      </w:r>
      <w:r w:rsidR="0084482C">
        <w:rPr>
          <w:rFonts w:eastAsia="Times New Roman" w:cs="Arial"/>
          <w:szCs w:val="20"/>
        </w:rPr>
        <w:tab/>
      </w:r>
      <w:r w:rsidRPr="0016687E">
        <w:rPr>
          <w:rFonts w:eastAsia="Times New Roman" w:cs="Arial"/>
          <w:szCs w:val="20"/>
        </w:rPr>
        <w:t xml:space="preserve"> _______________________</w:t>
      </w: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E4E84" w:rsidRPr="0016687E" w:rsidRDefault="004E4E84"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tbl>
      <w:tblPr>
        <w:tblStyle w:val="TableGrid"/>
        <w:tblW w:w="15083" w:type="dxa"/>
        <w:tblInd w:w="-1070" w:type="dxa"/>
        <w:tblLayout w:type="fixed"/>
        <w:tblLook w:val="04A0" w:firstRow="1" w:lastRow="0" w:firstColumn="1" w:lastColumn="0" w:noHBand="0" w:noVBand="1"/>
      </w:tblPr>
      <w:tblGrid>
        <w:gridCol w:w="884"/>
        <w:gridCol w:w="1081"/>
        <w:gridCol w:w="990"/>
        <w:gridCol w:w="812"/>
        <w:gridCol w:w="898"/>
        <w:gridCol w:w="835"/>
        <w:gridCol w:w="1235"/>
        <w:gridCol w:w="1170"/>
        <w:gridCol w:w="1178"/>
        <w:gridCol w:w="892"/>
        <w:gridCol w:w="1052"/>
        <w:gridCol w:w="972"/>
        <w:gridCol w:w="1061"/>
        <w:gridCol w:w="1106"/>
        <w:gridCol w:w="917"/>
      </w:tblGrid>
      <w:tr w:rsidR="0084482C" w:rsidTr="0084482C">
        <w:trPr>
          <w:trHeight w:val="395"/>
        </w:trPr>
        <w:tc>
          <w:tcPr>
            <w:tcW w:w="5500" w:type="dxa"/>
            <w:gridSpan w:val="6"/>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p>
        </w:tc>
        <w:tc>
          <w:tcPr>
            <w:tcW w:w="6499" w:type="dxa"/>
            <w:gridSpan w:val="6"/>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Loss of Assets</w:t>
            </w:r>
          </w:p>
        </w:tc>
        <w:tc>
          <w:tcPr>
            <w:tcW w:w="3084" w:type="dxa"/>
            <w:gridSpan w:val="3"/>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Other Losses</w:t>
            </w:r>
          </w:p>
        </w:tc>
      </w:tr>
      <w:tr w:rsidR="0084482C" w:rsidTr="0084482C">
        <w:tc>
          <w:tcPr>
            <w:tcW w:w="884"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Survey No.</w:t>
            </w:r>
          </w:p>
        </w:tc>
        <w:tc>
          <w:tcPr>
            <w:tcW w:w="1081"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Name of HH or person with ownership</w:t>
            </w:r>
          </w:p>
        </w:tc>
        <w:tc>
          <w:tcPr>
            <w:tcW w:w="990"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Number of people in HH</w:t>
            </w:r>
          </w:p>
        </w:tc>
        <w:tc>
          <w:tcPr>
            <w:tcW w:w="812"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Total Land held in HH (m2)</w:t>
            </w:r>
          </w:p>
        </w:tc>
        <w:tc>
          <w:tcPr>
            <w:tcW w:w="898"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Land to be acquired by type of use (m2)</w:t>
            </w:r>
          </w:p>
        </w:tc>
        <w:tc>
          <w:tcPr>
            <w:tcW w:w="835"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Loss of % of total land</w:t>
            </w:r>
          </w:p>
        </w:tc>
        <w:tc>
          <w:tcPr>
            <w:tcW w:w="1235"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No. and type of lost structure</w:t>
            </w:r>
          </w:p>
        </w:tc>
        <w:tc>
          <w:tcPr>
            <w:tcW w:w="1170"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Permanent structures (m2)</w:t>
            </w:r>
          </w:p>
        </w:tc>
        <w:tc>
          <w:tcPr>
            <w:tcW w:w="1178"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Temporary structures (m2)</w:t>
            </w:r>
          </w:p>
        </w:tc>
        <w:tc>
          <w:tcPr>
            <w:tcW w:w="892"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Total Land lost (m2)</w:t>
            </w:r>
          </w:p>
        </w:tc>
        <w:tc>
          <w:tcPr>
            <w:tcW w:w="1052"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Loss of crops (fruit trees/other by no. and type</w:t>
            </w:r>
          </w:p>
        </w:tc>
        <w:tc>
          <w:tcPr>
            <w:tcW w:w="972"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Loss of other assets (specify type and no.)</w:t>
            </w:r>
          </w:p>
        </w:tc>
        <w:tc>
          <w:tcPr>
            <w:tcW w:w="1061"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Resident</w:t>
            </w:r>
          </w:p>
        </w:tc>
        <w:tc>
          <w:tcPr>
            <w:tcW w:w="1106"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Business</w:t>
            </w:r>
          </w:p>
        </w:tc>
        <w:tc>
          <w:tcPr>
            <w:tcW w:w="917" w:type="dxa"/>
            <w:shd w:val="clear" w:color="auto" w:fill="FF0066"/>
          </w:tcPr>
          <w:p w:rsidR="0084482C" w:rsidRP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color w:val="FFFFFF" w:themeColor="background1"/>
                <w:szCs w:val="20"/>
              </w:rPr>
            </w:pPr>
            <w:r w:rsidRPr="0084482C">
              <w:rPr>
                <w:rFonts w:eastAsia="Times New Roman" w:cs="Arial"/>
                <w:b/>
                <w:color w:val="FFFFFF" w:themeColor="background1"/>
                <w:szCs w:val="20"/>
              </w:rPr>
              <w:t>Income</w:t>
            </w: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84482C" w:rsidTr="0084482C">
        <w:tc>
          <w:tcPr>
            <w:tcW w:w="884"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84482C" w:rsidRDefault="0084482C"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D15A70" w:rsidTr="0084482C">
        <w:tc>
          <w:tcPr>
            <w:tcW w:w="884"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r w:rsidR="00D15A70" w:rsidTr="0084482C">
        <w:tc>
          <w:tcPr>
            <w:tcW w:w="884"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81"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90"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1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8"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35"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235"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0"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78"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89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5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72"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061"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1106"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c>
          <w:tcPr>
            <w:tcW w:w="917" w:type="dxa"/>
          </w:tcPr>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rPr>
            </w:pPr>
          </w:p>
        </w:tc>
      </w:tr>
    </w:tbl>
    <w:p w:rsidR="00D15A70" w:rsidRDefault="00D15A70" w:rsidP="0060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sectPr w:rsidR="00D15A70" w:rsidSect="00787472">
          <w:pgSz w:w="15840" w:h="12240" w:orient="landscape"/>
          <w:pgMar w:top="1440" w:right="1440" w:bottom="1440" w:left="1440" w:header="720" w:footer="720" w:gutter="0"/>
          <w:cols w:space="720"/>
          <w:docGrid w:linePitch="360"/>
        </w:sectPr>
      </w:pPr>
    </w:p>
    <w:p w:rsidR="00D15A70" w:rsidRDefault="00D15A70" w:rsidP="00A40EBB">
      <w:pPr>
        <w:pStyle w:val="AppendixCover"/>
      </w:pPr>
      <w:r w:rsidRPr="00787472">
        <w:rPr>
          <w:noProof/>
          <w:szCs w:val="20"/>
          <w:lang w:val="en-NZ" w:eastAsia="en-NZ"/>
        </w:rPr>
        <w:lastRenderedPageBreak/>
        <mc:AlternateContent>
          <mc:Choice Requires="wps">
            <w:drawing>
              <wp:anchor distT="45720" distB="45720" distL="114300" distR="114300" simplePos="0" relativeHeight="251665408" behindDoc="0" locked="0" layoutInCell="1" allowOverlap="1" wp14:anchorId="6284355E" wp14:editId="0500461F">
                <wp:simplePos x="0" y="0"/>
                <wp:positionH relativeFrom="margin">
                  <wp:align>right</wp:align>
                </wp:positionH>
                <wp:positionV relativeFrom="paragraph">
                  <wp:posOffset>577850</wp:posOffset>
                </wp:positionV>
                <wp:extent cx="5915025" cy="74771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77125"/>
                        </a:xfrm>
                        <a:prstGeom prst="rect">
                          <a:avLst/>
                        </a:prstGeom>
                        <a:solidFill>
                          <a:srgbClr val="FFFFFF"/>
                        </a:solidFill>
                        <a:ln w="9525">
                          <a:solidFill>
                            <a:srgbClr val="000000"/>
                          </a:solidFill>
                          <a:miter lim="800000"/>
                          <a:headEnd/>
                          <a:tailEnd/>
                        </a:ln>
                      </wps:spPr>
                      <wps:txbx>
                        <w:txbxContent>
                          <w:p w:rsidR="002A2C61" w:rsidRPr="00787472" w:rsidRDefault="002A2C61" w:rsidP="00D15A70">
                            <w:pPr>
                              <w:shd w:val="clear" w:color="auto" w:fill="FF0066"/>
                              <w:rPr>
                                <w:color w:val="FFFFFF" w:themeColor="background1"/>
                                <w:sz w:val="96"/>
                                <w:szCs w:val="96"/>
                              </w:rPr>
                            </w:pPr>
                            <w:r>
                              <w:rPr>
                                <w:color w:val="FFFFFF" w:themeColor="background1"/>
                                <w:sz w:val="96"/>
                                <w:szCs w:val="96"/>
                              </w:rPr>
                              <w:t>Template for Documenting Public Consultation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14.55pt;margin-top:45.5pt;width:465.75pt;height:588.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">
                <v:textbox>
                  <w:txbxContent>
                    <w:p w:rsidR="002A2C61" w:rsidRPr="00787472" w:rsidRDefault="002A2C61" w:rsidP="00D15A70">
                      <w:pPr>
                        <w:shd w:val="clear" w:color="auto" w:fill="FF0066"/>
                        <w:rPr>
                          <w:color w:val="FFFFFF" w:themeColor="background1"/>
                          <w:sz w:val="96"/>
                          <w:szCs w:val="96"/>
                        </w:rPr>
                      </w:pPr>
                      <w:r>
                        <w:rPr>
                          <w:color w:val="FFFFFF" w:themeColor="background1"/>
                          <w:sz w:val="96"/>
                          <w:szCs w:val="96"/>
                        </w:rPr>
                        <w:t>Template for Documenting Public Consultation Meeting</w:t>
                      </w:r>
                    </w:p>
                  </w:txbxContent>
                </v:textbox>
                <w10:wrap type="square" anchorx="margin"/>
              </v:shape>
            </w:pict>
          </mc:Fallback>
        </mc:AlternateContent>
      </w:r>
      <w:r>
        <w:t>Appendix D</w:t>
      </w:r>
    </w:p>
    <w:p w:rsidR="00D15A70" w:rsidRDefault="00D15A70" w:rsidP="00D15A70">
      <w:pPr>
        <w:rPr>
          <w:rFonts w:eastAsia="Times New Roman" w:cs="Arial"/>
          <w:szCs w:val="20"/>
        </w:rPr>
      </w:pPr>
    </w:p>
    <w:p w:rsidR="00D15A70" w:rsidRPr="00D15A70" w:rsidRDefault="00D15A70" w:rsidP="00D15A70">
      <w:pPr>
        <w:rPr>
          <w:rFonts w:eastAsia="Times New Roman" w:cs="Arial"/>
          <w:szCs w:val="20"/>
        </w:rPr>
        <w:sectPr w:rsidR="00D15A70" w:rsidRPr="00D15A70" w:rsidSect="00D15A70">
          <w:pgSz w:w="12240" w:h="15840"/>
          <w:pgMar w:top="1440" w:right="1440" w:bottom="1440" w:left="1440" w:header="720" w:footer="720" w:gutter="0"/>
          <w:cols w:space="720"/>
          <w:docGrid w:linePitch="360"/>
        </w:sectPr>
      </w:pPr>
    </w:p>
    <w:p w:rsidR="00D15A70" w:rsidRPr="00D15A70" w:rsidRDefault="00D15A70" w:rsidP="00A40EBB">
      <w:pPr>
        <w:pStyle w:val="AppendixTitle"/>
      </w:pPr>
      <w:bookmarkStart w:id="38" w:name="_Toc483323552"/>
      <w:r w:rsidRPr="00D15A70">
        <w:lastRenderedPageBreak/>
        <w:t>Appendix D</w:t>
      </w:r>
      <w:r w:rsidRPr="00D15A70">
        <w:tab/>
      </w:r>
      <w:r w:rsidRPr="00D15A70">
        <w:tab/>
        <w:t>Template for Documenting Public Consultation Meeting</w:t>
      </w:r>
      <w:bookmarkEnd w:id="38"/>
    </w:p>
    <w:p w:rsidR="00D15A70" w:rsidRPr="00D15A70" w:rsidRDefault="00D15A70" w:rsidP="00D15A70">
      <w:pPr>
        <w:tabs>
          <w:tab w:val="left" w:pos="1832"/>
        </w:tabs>
        <w:rPr>
          <w:rFonts w:eastAsia="Times New Roman" w:cs="Arial"/>
          <w:b/>
          <w:color w:val="C00000"/>
          <w:sz w:val="24"/>
          <w:szCs w:val="24"/>
        </w:rPr>
      </w:pPr>
    </w:p>
    <w:tbl>
      <w:tblPr>
        <w:tblStyle w:val="TableGrid"/>
        <w:tblW w:w="0" w:type="auto"/>
        <w:tblLook w:val="04A0" w:firstRow="1" w:lastRow="0" w:firstColumn="1" w:lastColumn="0" w:noHBand="0" w:noVBand="1"/>
      </w:tblPr>
      <w:tblGrid>
        <w:gridCol w:w="3235"/>
        <w:gridCol w:w="6115"/>
      </w:tblGrid>
      <w:tr w:rsidR="00E01484" w:rsidTr="003A02B7">
        <w:tc>
          <w:tcPr>
            <w:tcW w:w="9350" w:type="dxa"/>
            <w:gridSpan w:val="2"/>
          </w:tcPr>
          <w:p w:rsidR="00E01484" w:rsidRDefault="00E01484" w:rsidP="00D15A70">
            <w:pPr>
              <w:tabs>
                <w:tab w:val="left" w:pos="5445"/>
              </w:tabs>
              <w:rPr>
                <w:rFonts w:eastAsia="Times New Roman" w:cs="Arial"/>
                <w:szCs w:val="20"/>
              </w:rPr>
            </w:pPr>
            <w:r>
              <w:rPr>
                <w:rFonts w:eastAsia="Times New Roman" w:cs="Arial"/>
                <w:szCs w:val="20"/>
              </w:rPr>
              <w:t>BASIC INFORMATION</w:t>
            </w:r>
          </w:p>
          <w:p w:rsidR="00E01484" w:rsidRDefault="00E01484" w:rsidP="00D15A70">
            <w:pPr>
              <w:tabs>
                <w:tab w:val="left" w:pos="5445"/>
              </w:tabs>
              <w:rPr>
                <w:rFonts w:eastAsia="Times New Roman" w:cs="Arial"/>
                <w:szCs w:val="20"/>
              </w:rPr>
            </w:pPr>
          </w:p>
        </w:tc>
      </w:tr>
      <w:tr w:rsidR="00E01484" w:rsidTr="00E01484">
        <w:tc>
          <w:tcPr>
            <w:tcW w:w="3235" w:type="dxa"/>
          </w:tcPr>
          <w:p w:rsidR="00E01484" w:rsidRDefault="00E01484" w:rsidP="00D15A70">
            <w:pPr>
              <w:tabs>
                <w:tab w:val="left" w:pos="5445"/>
              </w:tabs>
              <w:rPr>
                <w:rFonts w:eastAsia="Times New Roman" w:cs="Arial"/>
                <w:szCs w:val="20"/>
              </w:rPr>
            </w:pPr>
            <w:r>
              <w:rPr>
                <w:rFonts w:eastAsia="Times New Roman" w:cs="Arial"/>
                <w:szCs w:val="20"/>
              </w:rPr>
              <w:t>PROJECT NAME:</w:t>
            </w:r>
          </w:p>
        </w:tc>
        <w:tc>
          <w:tcPr>
            <w:tcW w:w="6115" w:type="dxa"/>
          </w:tcPr>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tc>
      </w:tr>
      <w:tr w:rsidR="00E01484" w:rsidTr="00E01484">
        <w:tc>
          <w:tcPr>
            <w:tcW w:w="3235" w:type="dxa"/>
          </w:tcPr>
          <w:p w:rsidR="00E01484" w:rsidRDefault="00E01484" w:rsidP="00D15A70">
            <w:pPr>
              <w:tabs>
                <w:tab w:val="left" w:pos="5445"/>
              </w:tabs>
              <w:rPr>
                <w:rFonts w:eastAsia="Times New Roman" w:cs="Arial"/>
                <w:szCs w:val="20"/>
              </w:rPr>
            </w:pPr>
            <w:r>
              <w:rPr>
                <w:rFonts w:eastAsia="Times New Roman" w:cs="Arial"/>
                <w:szCs w:val="20"/>
              </w:rPr>
              <w:t>DATE AND VENUE</w:t>
            </w:r>
          </w:p>
        </w:tc>
        <w:tc>
          <w:tcPr>
            <w:tcW w:w="6115" w:type="dxa"/>
          </w:tcPr>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tc>
      </w:tr>
      <w:tr w:rsidR="00E01484" w:rsidTr="00E01484">
        <w:tc>
          <w:tcPr>
            <w:tcW w:w="3235" w:type="dxa"/>
          </w:tcPr>
          <w:p w:rsidR="00E01484" w:rsidRDefault="00E01484" w:rsidP="00D15A70">
            <w:pPr>
              <w:tabs>
                <w:tab w:val="left" w:pos="5445"/>
              </w:tabs>
              <w:rPr>
                <w:rFonts w:eastAsia="Times New Roman" w:cs="Arial"/>
                <w:szCs w:val="20"/>
              </w:rPr>
            </w:pPr>
            <w:r>
              <w:rPr>
                <w:rFonts w:eastAsia="Times New Roman" w:cs="Arial"/>
                <w:szCs w:val="20"/>
              </w:rPr>
              <w:t>PARTICIPANTS – NUMBER AND AFFILIATION</w:t>
            </w:r>
          </w:p>
        </w:tc>
        <w:tc>
          <w:tcPr>
            <w:tcW w:w="6115" w:type="dxa"/>
          </w:tcPr>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p w:rsidR="00E01484" w:rsidRDefault="00E01484" w:rsidP="00D15A70">
            <w:pPr>
              <w:tabs>
                <w:tab w:val="left" w:pos="5445"/>
              </w:tabs>
              <w:rPr>
                <w:rFonts w:eastAsia="Times New Roman" w:cs="Arial"/>
                <w:szCs w:val="20"/>
              </w:rPr>
            </w:pPr>
          </w:p>
        </w:tc>
      </w:tr>
    </w:tbl>
    <w:p w:rsidR="00D15A70" w:rsidRDefault="00D15A70" w:rsidP="00D15A70">
      <w:pPr>
        <w:tabs>
          <w:tab w:val="left" w:pos="5445"/>
        </w:tabs>
        <w:rPr>
          <w:rFonts w:eastAsia="Times New Roman" w:cs="Arial"/>
          <w:szCs w:val="20"/>
        </w:rPr>
      </w:pPr>
      <w:r>
        <w:rPr>
          <w:rFonts w:eastAsia="Times New Roman" w:cs="Arial"/>
          <w:szCs w:val="20"/>
        </w:rPr>
        <w:tab/>
      </w:r>
    </w:p>
    <w:p w:rsid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Objectives of consultation: (</w:t>
      </w:r>
      <w:proofErr w:type="spellStart"/>
      <w:r w:rsidRPr="0016687E">
        <w:rPr>
          <w:rFonts w:eastAsia="Times New Roman" w:cs="Arial"/>
          <w:szCs w:val="20"/>
        </w:rPr>
        <w:t>i</w:t>
      </w:r>
      <w:proofErr w:type="spellEnd"/>
      <w:r w:rsidRPr="0016687E">
        <w:rPr>
          <w:rFonts w:eastAsia="Times New Roman" w:cs="Arial"/>
          <w:szCs w:val="20"/>
        </w:rPr>
        <w:t>) please enumerate items for sharing of informatio</w:t>
      </w:r>
      <w:r>
        <w:rPr>
          <w:rFonts w:eastAsia="Times New Roman" w:cs="Arial"/>
          <w:szCs w:val="20"/>
        </w:rPr>
        <w:t xml:space="preserve">n, ii) seeking opinions, and/or </w:t>
      </w:r>
      <w:r w:rsidRPr="0016687E">
        <w:rPr>
          <w:rFonts w:eastAsia="Times New Roman" w:cs="Arial"/>
          <w:szCs w:val="20"/>
        </w:rPr>
        <w:t>decision/support).</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Highlights of discussions (please, indicate source of comments/questions, </w:t>
      </w:r>
      <w:proofErr w:type="spellStart"/>
      <w:r w:rsidRPr="0016687E">
        <w:rPr>
          <w:rFonts w:eastAsia="Times New Roman" w:cs="Arial"/>
          <w:szCs w:val="20"/>
        </w:rPr>
        <w:t>etc</w:t>
      </w:r>
      <w:proofErr w:type="spellEnd"/>
      <w:r w:rsidRPr="0016687E">
        <w:rPr>
          <w:rFonts w:eastAsia="Times New Roman" w:cs="Arial"/>
          <w:szCs w:val="20"/>
        </w:rPr>
        <w:t>)</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1500"/>
        <w:gridCol w:w="2130"/>
        <w:gridCol w:w="2370"/>
        <w:gridCol w:w="3350"/>
      </w:tblGrid>
      <w:tr w:rsidR="00E01484" w:rsidRPr="00E01484" w:rsidTr="00E01484">
        <w:tc>
          <w:tcPr>
            <w:tcW w:w="1500" w:type="dxa"/>
            <w:shd w:val="clear" w:color="auto" w:fill="FF0066"/>
          </w:tcPr>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rPr>
                <w:rFonts w:eastAsia="Times New Roman" w:cs="Arial"/>
                <w:b/>
                <w:color w:val="FFFFFF" w:themeColor="background1"/>
                <w:szCs w:val="20"/>
              </w:rPr>
            </w:pPr>
            <w:r w:rsidRPr="00E01484">
              <w:rPr>
                <w:rFonts w:eastAsia="Times New Roman" w:cs="Arial"/>
                <w:b/>
                <w:color w:val="FFFFFF" w:themeColor="background1"/>
                <w:szCs w:val="20"/>
              </w:rPr>
              <w:t>Objectives</w:t>
            </w: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rPr>
                <w:rFonts w:eastAsia="Times New Roman" w:cs="Arial"/>
                <w:b/>
                <w:color w:val="FFFFFF" w:themeColor="background1"/>
                <w:szCs w:val="20"/>
              </w:rPr>
            </w:pPr>
          </w:p>
        </w:tc>
        <w:tc>
          <w:tcPr>
            <w:tcW w:w="2130" w:type="dxa"/>
            <w:shd w:val="clear" w:color="auto" w:fill="FF0066"/>
          </w:tcPr>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ind w:left="432"/>
              <w:rPr>
                <w:rFonts w:eastAsia="Times New Roman" w:cs="Arial"/>
                <w:b/>
                <w:color w:val="FFFFFF" w:themeColor="background1"/>
                <w:szCs w:val="20"/>
              </w:rPr>
            </w:pPr>
            <w:r w:rsidRPr="00E01484">
              <w:rPr>
                <w:rFonts w:eastAsia="Times New Roman" w:cs="Arial"/>
                <w:b/>
                <w:color w:val="FFFFFF" w:themeColor="background1"/>
                <w:szCs w:val="20"/>
              </w:rPr>
              <w:t>Supportive</w:t>
            </w: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rPr>
                <w:rFonts w:eastAsia="Times New Roman" w:cs="Arial"/>
                <w:b/>
                <w:color w:val="FFFFFF" w:themeColor="background1"/>
                <w:szCs w:val="20"/>
              </w:rPr>
            </w:pPr>
          </w:p>
        </w:tc>
        <w:tc>
          <w:tcPr>
            <w:tcW w:w="2370" w:type="dxa"/>
            <w:shd w:val="clear" w:color="auto" w:fill="FF0066"/>
          </w:tcPr>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ind w:left="477"/>
              <w:rPr>
                <w:rFonts w:eastAsia="Times New Roman" w:cs="Arial"/>
                <w:b/>
                <w:color w:val="FFFFFF" w:themeColor="background1"/>
                <w:szCs w:val="20"/>
              </w:rPr>
            </w:pPr>
            <w:r w:rsidRPr="00E01484">
              <w:rPr>
                <w:rFonts w:eastAsia="Times New Roman" w:cs="Arial"/>
                <w:b/>
                <w:color w:val="FFFFFF" w:themeColor="background1"/>
                <w:szCs w:val="20"/>
              </w:rPr>
              <w:t>Constraints</w:t>
            </w: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rPr>
                <w:rFonts w:eastAsia="Times New Roman" w:cs="Arial"/>
                <w:b/>
                <w:color w:val="FFFFFF" w:themeColor="background1"/>
                <w:szCs w:val="20"/>
              </w:rPr>
            </w:pPr>
          </w:p>
        </w:tc>
        <w:tc>
          <w:tcPr>
            <w:tcW w:w="3350" w:type="dxa"/>
            <w:shd w:val="clear" w:color="auto" w:fill="FF0066"/>
          </w:tcPr>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ind w:left="672"/>
              <w:rPr>
                <w:rFonts w:eastAsia="Times New Roman" w:cs="Arial"/>
                <w:b/>
                <w:color w:val="FFFFFF" w:themeColor="background1"/>
                <w:szCs w:val="20"/>
              </w:rPr>
            </w:pPr>
            <w:r w:rsidRPr="00E01484">
              <w:rPr>
                <w:rFonts w:eastAsia="Times New Roman" w:cs="Arial"/>
                <w:b/>
                <w:color w:val="FFFFFF" w:themeColor="background1"/>
                <w:szCs w:val="20"/>
              </w:rPr>
              <w:t>Agreements</w:t>
            </w:r>
            <w:r w:rsidRPr="00E01484">
              <w:rPr>
                <w:rFonts w:eastAsia="Times New Roman" w:cs="Arial"/>
                <w:b/>
                <w:color w:val="FFFFFF" w:themeColor="background1"/>
                <w:szCs w:val="20"/>
              </w:rPr>
              <w:tab/>
            </w: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right" w:pos="9134"/>
              </w:tabs>
              <w:rPr>
                <w:rFonts w:eastAsia="Times New Roman" w:cs="Arial"/>
                <w:b/>
                <w:color w:val="FFFFFF" w:themeColor="background1"/>
                <w:szCs w:val="20"/>
              </w:rPr>
            </w:pPr>
          </w:p>
        </w:tc>
      </w:tr>
      <w:tr w:rsidR="00E01484" w:rsidRPr="00E01484" w:rsidTr="00E01484">
        <w:tc>
          <w:tcPr>
            <w:tcW w:w="9350" w:type="dxa"/>
            <w:gridSpan w:val="4"/>
          </w:tcPr>
          <w:p w:rsid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tc>
      </w:tr>
      <w:tr w:rsidR="00E01484" w:rsidRPr="00E01484" w:rsidTr="00E01484">
        <w:tc>
          <w:tcPr>
            <w:tcW w:w="9350" w:type="dxa"/>
            <w:gridSpan w:val="4"/>
          </w:tcPr>
          <w:p w:rsid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tc>
      </w:tr>
      <w:tr w:rsidR="00E01484" w:rsidRPr="00E01484" w:rsidTr="00E01484">
        <w:tc>
          <w:tcPr>
            <w:tcW w:w="9350" w:type="dxa"/>
            <w:gridSpan w:val="4"/>
          </w:tcPr>
          <w:p w:rsid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p w:rsidR="00E01484" w:rsidRPr="00E01484"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Arial"/>
                <w:szCs w:val="20"/>
              </w:rPr>
            </w:pPr>
          </w:p>
        </w:tc>
      </w:tr>
    </w:tbl>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Assessment and Conclusion (state here if the purpose of public consultation have been met, next steps needed)</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Attachments:</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Presentation materials:</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Attendance sheet:</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Photos:</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Invitees list and proof of received invitations:</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Publications announcement of the Public Consultations and relevant records:</w:t>
      </w:r>
    </w:p>
    <w:p w:rsidR="00E01484" w:rsidRPr="0016687E" w:rsidRDefault="00E01484" w:rsidP="00E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3182D" w:rsidRDefault="0043182D" w:rsidP="00D15A70">
      <w:pPr>
        <w:tabs>
          <w:tab w:val="left" w:pos="4155"/>
          <w:tab w:val="left" w:pos="5445"/>
        </w:tabs>
        <w:rPr>
          <w:rFonts w:eastAsia="Times New Roman" w:cs="Arial"/>
          <w:szCs w:val="20"/>
        </w:rPr>
        <w:sectPr w:rsidR="0043182D" w:rsidSect="00D15A70">
          <w:pgSz w:w="12240" w:h="15840"/>
          <w:pgMar w:top="1440" w:right="1440" w:bottom="1440" w:left="1440" w:header="720" w:footer="720" w:gutter="0"/>
          <w:cols w:space="720"/>
          <w:docGrid w:linePitch="360"/>
        </w:sectPr>
      </w:pPr>
    </w:p>
    <w:p w:rsidR="00F80F15" w:rsidRPr="00F80F15" w:rsidRDefault="00F80F15" w:rsidP="00A40EBB">
      <w:pPr>
        <w:pStyle w:val="AppendixCover"/>
      </w:pPr>
      <w:r w:rsidRPr="00F80F15">
        <w:lastRenderedPageBreak/>
        <w:t>Appendix E</w:t>
      </w:r>
    </w:p>
    <w:p w:rsidR="00F80F15" w:rsidRDefault="00F80F15" w:rsidP="00F80F15">
      <w:pPr>
        <w:rPr>
          <w:rFonts w:eastAsia="Times New Roman" w:cs="Arial"/>
          <w:szCs w:val="20"/>
        </w:rPr>
      </w:pPr>
      <w:r w:rsidRPr="00F80F15">
        <w:rPr>
          <w:rFonts w:eastAsia="Times New Roman" w:cs="Arial"/>
          <w:noProof/>
          <w:szCs w:val="20"/>
          <w:lang w:val="en-NZ" w:eastAsia="en-NZ"/>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208280</wp:posOffset>
                </wp:positionV>
                <wp:extent cx="5962650" cy="7410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410450"/>
                        </a:xfrm>
                        <a:prstGeom prst="rect">
                          <a:avLst/>
                        </a:prstGeom>
                        <a:solidFill>
                          <a:srgbClr val="FFFFFF"/>
                        </a:solidFill>
                        <a:ln w="9525">
                          <a:solidFill>
                            <a:srgbClr val="000000"/>
                          </a:solidFill>
                          <a:miter lim="800000"/>
                          <a:headEnd/>
                          <a:tailEnd/>
                        </a:ln>
                      </wps:spPr>
                      <wps:txbx>
                        <w:txbxContent>
                          <w:p w:rsidR="002A2C61" w:rsidRPr="00F80F15" w:rsidRDefault="002A2C61" w:rsidP="00F80F15">
                            <w:pPr>
                              <w:shd w:val="clear" w:color="auto" w:fill="FF0066"/>
                              <w:rPr>
                                <w:color w:val="FFFFFF" w:themeColor="background1"/>
                                <w:sz w:val="96"/>
                                <w:szCs w:val="96"/>
                              </w:rPr>
                            </w:pPr>
                            <w:r w:rsidRPr="00F80F15">
                              <w:rPr>
                                <w:color w:val="FFFFFF" w:themeColor="background1"/>
                                <w:sz w:val="96"/>
                                <w:szCs w:val="96"/>
                              </w:rPr>
                              <w:t>Sample Consent Form (Voluntary Donation)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8.3pt;margin-top:16.4pt;width:469.5pt;height:58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">
                <v:textbox>
                  <w:txbxContent>
                    <w:p w:rsidR="002A2C61" w:rsidRPr="00F80F15" w:rsidRDefault="002A2C61" w:rsidP="00F80F15">
                      <w:pPr>
                        <w:shd w:val="clear" w:color="auto" w:fill="FF0066"/>
                        <w:rPr>
                          <w:color w:val="FFFFFF" w:themeColor="background1"/>
                          <w:sz w:val="96"/>
                          <w:szCs w:val="96"/>
                        </w:rPr>
                      </w:pPr>
                      <w:r w:rsidRPr="00F80F15">
                        <w:rPr>
                          <w:color w:val="FFFFFF" w:themeColor="background1"/>
                          <w:sz w:val="96"/>
                          <w:szCs w:val="96"/>
                        </w:rPr>
                        <w:t>Sample Consent Form (Voluntary Donation)</w:t>
                      </w:r>
                    </w:p>
                  </w:txbxContent>
                </v:textbox>
                <w10:wrap type="square" anchorx="margin"/>
              </v:shape>
            </w:pict>
          </mc:Fallback>
        </mc:AlternateContent>
      </w:r>
    </w:p>
    <w:p w:rsidR="0043182D" w:rsidRPr="00F80F15" w:rsidRDefault="0043182D" w:rsidP="00F80F15">
      <w:pPr>
        <w:rPr>
          <w:rFonts w:eastAsia="Times New Roman" w:cs="Arial"/>
          <w:szCs w:val="20"/>
        </w:rPr>
        <w:sectPr w:rsidR="0043182D" w:rsidRPr="00F80F15" w:rsidSect="00D15A70">
          <w:pgSz w:w="12240" w:h="15840"/>
          <w:pgMar w:top="1440" w:right="1440" w:bottom="1440" w:left="1440" w:header="720" w:footer="720" w:gutter="0"/>
          <w:cols w:space="720"/>
          <w:docGrid w:linePitch="360"/>
        </w:sectPr>
      </w:pPr>
    </w:p>
    <w:p w:rsidR="00F80F15" w:rsidRPr="00F80F15" w:rsidRDefault="00F80F15" w:rsidP="00A40EBB">
      <w:pPr>
        <w:pStyle w:val="AppendixTitle"/>
      </w:pPr>
      <w:bookmarkStart w:id="39" w:name="_Toc483323553"/>
      <w:r w:rsidRPr="00F80F15">
        <w:lastRenderedPageBreak/>
        <w:t>Appendix E                   Sample Consent Form (Voluntary Donation)</w:t>
      </w:r>
      <w:bookmarkEnd w:id="39"/>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Date: _______________________</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I/We: ___________________ male household head ___________________female household head,</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AND/OR person exercising custom over the affected</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land___________________________________________________________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Resident/s of _________________Village in _________________District______________,</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Declare that I/We/the group is voluntarily donating the use of (specif</w:t>
      </w:r>
      <w:r>
        <w:rPr>
          <w:rFonts w:eastAsia="Times New Roman" w:cs="Arial"/>
          <w:szCs w:val="20"/>
        </w:rPr>
        <w:t xml:space="preserve">y land, assets, location, size, </w:t>
      </w:r>
      <w:r w:rsidRPr="0016687E">
        <w:rPr>
          <w:rFonts w:eastAsia="Times New Roman" w:cs="Arial"/>
          <w:szCs w:val="20"/>
        </w:rPr>
        <w:t>type etc</w:t>
      </w:r>
      <w:r w:rsidR="00A40EBB">
        <w:rPr>
          <w:rFonts w:eastAsia="Times New Roman" w:cs="Arial"/>
          <w:szCs w:val="20"/>
        </w:rPr>
        <w:t>.</w:t>
      </w:r>
      <w:r w:rsidRPr="0016687E">
        <w:rPr>
          <w:rFonts w:eastAsia="Times New Roman" w:cs="Arial"/>
          <w:szCs w:val="20"/>
        </w:rPr>
        <w:t>)</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For the purpose of: (specify activity)</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For the duration of: (specify commencement date and duration)</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Of My/Our own free will, I/We are waiving </w:t>
      </w:r>
      <w:proofErr w:type="gramStart"/>
      <w:r w:rsidRPr="0016687E">
        <w:rPr>
          <w:rFonts w:eastAsia="Times New Roman" w:cs="Arial"/>
          <w:szCs w:val="20"/>
        </w:rPr>
        <w:t>My/</w:t>
      </w:r>
      <w:proofErr w:type="gramEnd"/>
      <w:r w:rsidRPr="0016687E">
        <w:rPr>
          <w:rFonts w:eastAsia="Times New Roman" w:cs="Arial"/>
          <w:szCs w:val="20"/>
        </w:rPr>
        <w:t>Our right to compensation of any kin</w:t>
      </w:r>
      <w:r>
        <w:rPr>
          <w:rFonts w:eastAsia="Times New Roman" w:cs="Arial"/>
          <w:szCs w:val="20"/>
        </w:rPr>
        <w:t xml:space="preserve">d for the specified duration of </w:t>
      </w:r>
      <w:r w:rsidRPr="0016687E">
        <w:rPr>
          <w:rFonts w:eastAsia="Times New Roman" w:cs="Arial"/>
          <w:szCs w:val="20"/>
        </w:rPr>
        <w:t>the activity.</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Signed:</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Male</w:t>
      </w:r>
      <w:r w:rsidR="00A40EBB">
        <w:rPr>
          <w:rFonts w:eastAsia="Times New Roman" w:cs="Arial"/>
          <w:szCs w:val="20"/>
        </w:rPr>
        <w:t xml:space="preserve"> household head</w:t>
      </w:r>
      <w:r w:rsidRPr="0016687E">
        <w:rPr>
          <w:rFonts w:eastAsia="Times New Roman" w:cs="Arial"/>
          <w:szCs w:val="20"/>
        </w:rPr>
        <w:t xml:space="preserve"> _____________________ Female household head__________________</w:t>
      </w:r>
    </w:p>
    <w:p w:rsidR="00F80F15"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Perso</w:t>
      </w:r>
      <w:r>
        <w:rPr>
          <w:rFonts w:eastAsia="Times New Roman" w:cs="Arial"/>
          <w:szCs w:val="20"/>
        </w:rPr>
        <w:t xml:space="preserve">n exercising Custom        </w:t>
      </w:r>
      <w:r w:rsidRPr="0016687E">
        <w:rPr>
          <w:rFonts w:eastAsia="Times New Roman" w:cs="Arial"/>
          <w:szCs w:val="20"/>
        </w:rPr>
        <w:t xml:space="preserve"> ____________________</w:t>
      </w:r>
    </w:p>
    <w:p w:rsidR="00F80F15" w:rsidRPr="0016687E" w:rsidRDefault="00F80F15" w:rsidP="00F8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43182D" w:rsidRPr="00F80F15" w:rsidRDefault="0043182D" w:rsidP="00F80F15">
      <w:pPr>
        <w:rPr>
          <w:rFonts w:eastAsia="Times New Roman" w:cs="Arial"/>
          <w:szCs w:val="20"/>
        </w:rPr>
        <w:sectPr w:rsidR="0043182D" w:rsidRPr="00F80F15" w:rsidSect="00D15A70">
          <w:pgSz w:w="12240" w:h="15840"/>
          <w:pgMar w:top="1440" w:right="1440" w:bottom="1440" w:left="1440" w:header="720" w:footer="720" w:gutter="0"/>
          <w:cols w:space="720"/>
          <w:docGrid w:linePitch="360"/>
        </w:sectPr>
      </w:pPr>
    </w:p>
    <w:p w:rsidR="005D2572" w:rsidRPr="00F80F15" w:rsidRDefault="005D2572" w:rsidP="00A40EBB">
      <w:pPr>
        <w:pStyle w:val="AppendixCover"/>
      </w:pPr>
      <w:r>
        <w:lastRenderedPageBreak/>
        <w:t>Appendix F</w:t>
      </w:r>
    </w:p>
    <w:p w:rsidR="005D2572" w:rsidRDefault="005D2572" w:rsidP="005D2572">
      <w:pPr>
        <w:rPr>
          <w:rFonts w:eastAsia="Times New Roman" w:cs="Arial"/>
          <w:szCs w:val="20"/>
        </w:rPr>
      </w:pPr>
      <w:r w:rsidRPr="00F80F15">
        <w:rPr>
          <w:rFonts w:eastAsia="Times New Roman" w:cs="Arial"/>
          <w:noProof/>
          <w:szCs w:val="20"/>
          <w:lang w:val="en-NZ" w:eastAsia="en-NZ"/>
        </w:rPr>
        <mc:AlternateContent>
          <mc:Choice Requires="wps">
            <w:drawing>
              <wp:anchor distT="45720" distB="45720" distL="114300" distR="114300" simplePos="0" relativeHeight="251669504" behindDoc="0" locked="0" layoutInCell="1" allowOverlap="1" wp14:anchorId="5A3C8F63" wp14:editId="6055B90E">
                <wp:simplePos x="0" y="0"/>
                <wp:positionH relativeFrom="margin">
                  <wp:align>right</wp:align>
                </wp:positionH>
                <wp:positionV relativeFrom="paragraph">
                  <wp:posOffset>208280</wp:posOffset>
                </wp:positionV>
                <wp:extent cx="5962650" cy="7410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410450"/>
                        </a:xfrm>
                        <a:prstGeom prst="rect">
                          <a:avLst/>
                        </a:prstGeom>
                        <a:solidFill>
                          <a:srgbClr val="FFFFFF"/>
                        </a:solidFill>
                        <a:ln w="9525">
                          <a:solidFill>
                            <a:srgbClr val="000000"/>
                          </a:solidFill>
                          <a:miter lim="800000"/>
                          <a:headEnd/>
                          <a:tailEnd/>
                        </a:ln>
                      </wps:spPr>
                      <wps:txbx>
                        <w:txbxContent>
                          <w:p w:rsidR="002A2C61" w:rsidRPr="00F80F15" w:rsidRDefault="002A2C61" w:rsidP="005D2572">
                            <w:pPr>
                              <w:shd w:val="clear" w:color="auto" w:fill="FF0066"/>
                              <w:rPr>
                                <w:color w:val="FFFFFF" w:themeColor="background1"/>
                                <w:sz w:val="96"/>
                                <w:szCs w:val="96"/>
                              </w:rPr>
                            </w:pPr>
                            <w:r w:rsidRPr="00F80F15">
                              <w:rPr>
                                <w:color w:val="FFFFFF" w:themeColor="background1"/>
                                <w:sz w:val="96"/>
                                <w:szCs w:val="96"/>
                              </w:rPr>
                              <w:t xml:space="preserve">Sample </w:t>
                            </w:r>
                            <w:r>
                              <w:rPr>
                                <w:color w:val="FFFFFF" w:themeColor="background1"/>
                                <w:sz w:val="96"/>
                                <w:szCs w:val="96"/>
                              </w:rPr>
                              <w:t>Consent Form (Agreement for Compensation</w:t>
                            </w:r>
                            <w:r w:rsidRPr="00F80F15">
                              <w:rPr>
                                <w:color w:val="FFFFFF" w:themeColor="background1"/>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8.3pt;margin-top:16.4pt;width:469.5pt;height:58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">
                <v:textbox>
                  <w:txbxContent>
                    <w:p w:rsidR="002A2C61" w:rsidRPr="00F80F15" w:rsidRDefault="002A2C61" w:rsidP="005D2572">
                      <w:pPr>
                        <w:shd w:val="clear" w:color="auto" w:fill="FF0066"/>
                        <w:rPr>
                          <w:color w:val="FFFFFF" w:themeColor="background1"/>
                          <w:sz w:val="96"/>
                          <w:szCs w:val="96"/>
                        </w:rPr>
                      </w:pPr>
                      <w:r w:rsidRPr="00F80F15">
                        <w:rPr>
                          <w:color w:val="FFFFFF" w:themeColor="background1"/>
                          <w:sz w:val="96"/>
                          <w:szCs w:val="96"/>
                        </w:rPr>
                        <w:t xml:space="preserve">Sample </w:t>
                      </w:r>
                      <w:r>
                        <w:rPr>
                          <w:color w:val="FFFFFF" w:themeColor="background1"/>
                          <w:sz w:val="96"/>
                          <w:szCs w:val="96"/>
                        </w:rPr>
                        <w:t>Consent Form (Agreement for Compensation</w:t>
                      </w:r>
                      <w:r w:rsidRPr="00F80F15">
                        <w:rPr>
                          <w:color w:val="FFFFFF" w:themeColor="background1"/>
                          <w:sz w:val="96"/>
                          <w:szCs w:val="96"/>
                        </w:rPr>
                        <w:t>)</w:t>
                      </w:r>
                    </w:p>
                  </w:txbxContent>
                </v:textbox>
                <w10:wrap type="square" anchorx="margin"/>
              </v:shape>
            </w:pict>
          </mc:Fallback>
        </mc:AlternateContent>
      </w:r>
    </w:p>
    <w:p w:rsidR="005D2572" w:rsidRPr="00F80F15" w:rsidRDefault="005D2572" w:rsidP="005D2572">
      <w:pPr>
        <w:rPr>
          <w:rFonts w:eastAsia="Times New Roman" w:cs="Arial"/>
          <w:szCs w:val="20"/>
        </w:rPr>
        <w:sectPr w:rsidR="005D2572" w:rsidRPr="00F80F15" w:rsidSect="00D15A70">
          <w:pgSz w:w="12240" w:h="15840"/>
          <w:pgMar w:top="1440" w:right="1440" w:bottom="1440" w:left="1440" w:header="720" w:footer="720" w:gutter="0"/>
          <w:cols w:space="720"/>
          <w:docGrid w:linePitch="360"/>
        </w:sectPr>
      </w:pPr>
    </w:p>
    <w:p w:rsidR="005D2572" w:rsidRPr="005D2572" w:rsidRDefault="005D2572" w:rsidP="00A40EBB">
      <w:pPr>
        <w:pStyle w:val="AppendixTitle"/>
      </w:pPr>
      <w:bookmarkStart w:id="40" w:name="_Toc483323554"/>
      <w:r w:rsidRPr="005D2572">
        <w:lastRenderedPageBreak/>
        <w:t>Appendix F           Sample Consent Form (Agreement for Compensation)</w:t>
      </w:r>
      <w:bookmarkEnd w:id="40"/>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Date: 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I/We ___________________ male household head ___________________female household head,</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OR Person exercising custom over the Affected Land</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Resident/s of _________________Village in _________________District</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 xml:space="preserve">Declare that I/We/the group are consenting to the use of (specify land, assets, location, type </w:t>
      </w:r>
      <w:proofErr w:type="spellStart"/>
      <w:r w:rsidRPr="0016687E">
        <w:rPr>
          <w:rFonts w:eastAsia="Times New Roman" w:cs="Arial"/>
          <w:szCs w:val="20"/>
        </w:rPr>
        <w:t>etc</w:t>
      </w:r>
      <w:proofErr w:type="spellEnd"/>
      <w:r w:rsidRPr="0016687E">
        <w:rPr>
          <w:rFonts w:eastAsia="Times New Roman" w:cs="Arial"/>
          <w:szCs w:val="20"/>
        </w:rPr>
        <w:t>)</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For the purpose of: (specify activity)</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For the duration of: (specify commencement date and duration)</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For the following agreed compensation arrangements (NB, use the back of form if needed):</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______________________________________________________________________________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Signed:</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5D2572" w:rsidRPr="0016687E"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Male household head            ______________________ Female household head__________________</w:t>
      </w:r>
    </w:p>
    <w:p w:rsidR="005D2572" w:rsidRDefault="005D2572" w:rsidP="005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D15A70" w:rsidRDefault="005D2572" w:rsidP="006A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r w:rsidRPr="0016687E">
        <w:rPr>
          <w:rFonts w:eastAsia="Times New Roman" w:cs="Arial"/>
          <w:szCs w:val="20"/>
        </w:rPr>
        <w:t>Person Exercising Custom _____</w:t>
      </w:r>
      <w:r w:rsidR="006A7F43">
        <w:rPr>
          <w:rFonts w:eastAsia="Times New Roman" w:cs="Arial"/>
          <w:szCs w:val="20"/>
        </w:rPr>
        <w:t>_____________</w:t>
      </w:r>
    </w:p>
    <w:p w:rsidR="006A7F43" w:rsidRDefault="006A7F43" w:rsidP="006A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0"/>
        </w:rPr>
      </w:pPr>
    </w:p>
    <w:p w:rsidR="0090010A" w:rsidRPr="0016687E" w:rsidRDefault="0090010A" w:rsidP="00EF5B3F">
      <w:pPr>
        <w:rPr>
          <w:rFonts w:cs="Arial"/>
          <w:szCs w:val="20"/>
        </w:rPr>
      </w:pPr>
    </w:p>
    <w:sectPr w:rsidR="0090010A" w:rsidRPr="0016687E" w:rsidSect="00EF5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5D" w:rsidRDefault="00AB2B5D" w:rsidP="0060554D">
      <w:pPr>
        <w:spacing w:after="0" w:line="240" w:lineRule="auto"/>
      </w:pPr>
      <w:r>
        <w:separator/>
      </w:r>
    </w:p>
  </w:endnote>
  <w:endnote w:type="continuationSeparator" w:id="0">
    <w:p w:rsidR="00AB2B5D" w:rsidRDefault="00AB2B5D" w:rsidP="0060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11016"/>
      <w:docPartObj>
        <w:docPartGallery w:val="Page Numbers (Bottom of Page)"/>
        <w:docPartUnique/>
      </w:docPartObj>
    </w:sdtPr>
    <w:sdtEndPr>
      <w:rPr>
        <w:noProof/>
      </w:rPr>
    </w:sdtEndPr>
    <w:sdtContent>
      <w:p w:rsidR="002A2C61" w:rsidRDefault="002A2C61">
        <w:pPr>
          <w:pStyle w:val="Footer"/>
          <w:jc w:val="center"/>
        </w:pPr>
        <w:r>
          <w:fldChar w:fldCharType="begin"/>
        </w:r>
        <w:r>
          <w:instrText xml:space="preserve"> PAGE   \* MERGEFORMAT </w:instrText>
        </w:r>
        <w:r>
          <w:fldChar w:fldCharType="separate"/>
        </w:r>
        <w:r w:rsidR="00AA3435">
          <w:rPr>
            <w:noProof/>
          </w:rPr>
          <w:t>14</w:t>
        </w:r>
        <w:r>
          <w:rPr>
            <w:noProof/>
          </w:rPr>
          <w:fldChar w:fldCharType="end"/>
        </w:r>
      </w:p>
    </w:sdtContent>
  </w:sdt>
  <w:p w:rsidR="002A2C61" w:rsidRDefault="002A2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5D" w:rsidRDefault="00AB2B5D" w:rsidP="0060554D">
      <w:pPr>
        <w:spacing w:after="0" w:line="240" w:lineRule="auto"/>
      </w:pPr>
      <w:r>
        <w:separator/>
      </w:r>
    </w:p>
  </w:footnote>
  <w:footnote w:type="continuationSeparator" w:id="0">
    <w:p w:rsidR="00AB2B5D" w:rsidRDefault="00AB2B5D" w:rsidP="0060554D">
      <w:pPr>
        <w:spacing w:after="0" w:line="240" w:lineRule="auto"/>
      </w:pPr>
      <w:r>
        <w:continuationSeparator/>
      </w:r>
    </w:p>
  </w:footnote>
  <w:footnote w:id="1">
    <w:p w:rsidR="002A2C61" w:rsidRDefault="002A2C61" w:rsidP="00D17A39">
      <w:pPr>
        <w:pStyle w:val="FootnoteText"/>
        <w:tabs>
          <w:tab w:val="right" w:pos="9360"/>
        </w:tabs>
        <w:spacing w:after="60" w:line="240" w:lineRule="auto"/>
      </w:pPr>
      <w:r>
        <w:rPr>
          <w:rStyle w:val="FootnoteReference"/>
        </w:rPr>
        <w:footnoteRef/>
      </w:r>
      <w:r>
        <w:t xml:space="preserve">  </w:t>
      </w:r>
      <w:r>
        <w:rPr>
          <w:lang w:val="en-AU"/>
        </w:rPr>
        <w:t>Vanuatu Post Disaster Needs Assessment, Tropical Cyclone Pam, March 2015 (</w:t>
      </w:r>
      <w:proofErr w:type="spellStart"/>
      <w:r>
        <w:rPr>
          <w:lang w:val="en-AU"/>
        </w:rPr>
        <w:t>GoV</w:t>
      </w:r>
      <w:proofErr w:type="spellEnd"/>
      <w:r>
        <w:rPr>
          <w:lang w:val="en-AU"/>
        </w:rPr>
        <w:t>).</w:t>
      </w:r>
      <w:r>
        <w:rPr>
          <w:lang w:val="en-AU"/>
        </w:rPr>
        <w:tab/>
      </w:r>
    </w:p>
  </w:footnote>
  <w:footnote w:id="2">
    <w:p w:rsidR="002A2C61" w:rsidRPr="007E0877" w:rsidRDefault="002A2C61" w:rsidP="00D17A39">
      <w:pPr>
        <w:pStyle w:val="FootnoteText"/>
        <w:rPr>
          <w:lang w:val="en-NZ"/>
        </w:rPr>
      </w:pPr>
      <w:r>
        <w:rPr>
          <w:rStyle w:val="FootnoteReference"/>
        </w:rPr>
        <w:footnoteRef/>
      </w:r>
      <w:r>
        <w:t xml:space="preserve"> </w:t>
      </w:r>
      <w:r>
        <w:rPr>
          <w:lang w:val="en-NZ"/>
        </w:rPr>
        <w:t>A complimentary project supported through the trust fund entitled “Disaster Risk Reduction Project”.</w:t>
      </w:r>
    </w:p>
  </w:footnote>
  <w:footnote w:id="3">
    <w:p w:rsidR="002A2C61" w:rsidRPr="00FF58F6" w:rsidRDefault="002A2C61" w:rsidP="004A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NZ"/>
        </w:rPr>
      </w:pPr>
      <w:r>
        <w:rPr>
          <w:rStyle w:val="FootnoteReference"/>
        </w:rPr>
        <w:footnoteRef/>
      </w:r>
      <w:r w:rsidRPr="00FF58F6">
        <w:rPr>
          <w:sz w:val="16"/>
          <w:szCs w:val="16"/>
        </w:rPr>
        <w:t xml:space="preserve"> </w:t>
      </w:r>
      <w:r w:rsidRPr="00FF58F6">
        <w:rPr>
          <w:rFonts w:eastAsia="Times New Roman" w:cs="Arial"/>
          <w:sz w:val="16"/>
          <w:szCs w:val="16"/>
        </w:rPr>
        <w:t>Lydia Holt, Robert O’Sullivan, Sean Weaver, ‘A Review of Land and Forestry Law in Vanuatu and Their Implications for Designing Forest Based Emission Trading Activities in Vanuatu’</w:t>
      </w:r>
      <w:r>
        <w:rPr>
          <w:rFonts w:eastAsia="Times New Roman" w:cs="Arial"/>
          <w:sz w:val="16"/>
          <w:szCs w:val="16"/>
        </w:rPr>
        <w:t>.</w:t>
      </w:r>
    </w:p>
  </w:footnote>
  <w:footnote w:id="4">
    <w:p w:rsidR="002A2C61" w:rsidRPr="00FF58F6" w:rsidRDefault="002A2C61" w:rsidP="008422C0">
      <w:pPr>
        <w:pStyle w:val="FootnoteText"/>
        <w:spacing w:after="0" w:line="240" w:lineRule="auto"/>
        <w:rPr>
          <w:lang w:val="en-NZ"/>
        </w:rPr>
      </w:pPr>
      <w:r>
        <w:rPr>
          <w:rStyle w:val="FootnoteReference"/>
        </w:rPr>
        <w:footnoteRef/>
      </w:r>
      <w:r>
        <w:t xml:space="preserve"> </w:t>
      </w:r>
      <w:r w:rsidRPr="004A41CA">
        <w:rPr>
          <w:rFonts w:ascii="Arial" w:hAnsi="Arial" w:cs="Arial"/>
          <w:sz w:val="16"/>
          <w:szCs w:val="16"/>
        </w:rPr>
        <w:t>This overview of the land and legal Acts is drawn from Government of Vanuatu, June 2011. Republic of Vanuatu: Port Vila</w:t>
      </w:r>
      <w:r>
        <w:rPr>
          <w:rFonts w:ascii="Arial" w:hAnsi="Arial" w:cs="Arial"/>
          <w:sz w:val="16"/>
          <w:szCs w:val="16"/>
        </w:rPr>
        <w:t>.</w:t>
      </w:r>
    </w:p>
  </w:footnote>
  <w:footnote w:id="5">
    <w:p w:rsidR="002A2C61" w:rsidRPr="00FF58F6" w:rsidRDefault="002A2C61" w:rsidP="00C4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NZ"/>
        </w:rPr>
      </w:pPr>
      <w:r>
        <w:rPr>
          <w:rStyle w:val="FootnoteReference"/>
        </w:rPr>
        <w:footnoteRef/>
      </w:r>
      <w:r>
        <w:t xml:space="preserve"> </w:t>
      </w:r>
      <w:r w:rsidRPr="00C44943">
        <w:rPr>
          <w:rFonts w:eastAsia="Times New Roman" w:cs="Arial"/>
          <w:sz w:val="16"/>
          <w:szCs w:val="16"/>
        </w:rPr>
        <w:t xml:space="preserve">This section is based on an article by Anita </w:t>
      </w:r>
      <w:proofErr w:type="spellStart"/>
      <w:r w:rsidRPr="00C44943">
        <w:rPr>
          <w:rFonts w:eastAsia="Times New Roman" w:cs="Arial"/>
          <w:sz w:val="16"/>
          <w:szCs w:val="16"/>
        </w:rPr>
        <w:t>Jowitt</w:t>
      </w:r>
      <w:proofErr w:type="spellEnd"/>
      <w:r w:rsidRPr="00C44943">
        <w:rPr>
          <w:rFonts w:eastAsia="Times New Roman" w:cs="Arial"/>
          <w:sz w:val="16"/>
          <w:szCs w:val="16"/>
        </w:rPr>
        <w:t xml:space="preserve">, Indigenous Land Grievances, Customary Land Disputes </w:t>
      </w:r>
      <w:proofErr w:type="gramStart"/>
      <w:r w:rsidRPr="00C44943">
        <w:rPr>
          <w:rFonts w:eastAsia="Times New Roman" w:cs="Arial"/>
          <w:sz w:val="16"/>
          <w:szCs w:val="16"/>
        </w:rPr>
        <w:t>And</w:t>
      </w:r>
      <w:proofErr w:type="gramEnd"/>
      <w:r w:rsidRPr="00C44943">
        <w:rPr>
          <w:rFonts w:eastAsia="Times New Roman" w:cs="Arial"/>
          <w:sz w:val="16"/>
          <w:szCs w:val="16"/>
        </w:rPr>
        <w:t xml:space="preserve"> Restorative Justice, Journal of South Pacific Law, Volume 8, 2004, Issue 2</w:t>
      </w:r>
      <w:r>
        <w:rPr>
          <w:rFonts w:eastAsia="Times New Roman" w:cs="Arial"/>
          <w:sz w:val="16"/>
          <w:szCs w:val="16"/>
        </w:rPr>
        <w:t>.</w:t>
      </w:r>
    </w:p>
  </w:footnote>
  <w:footnote w:id="6">
    <w:p w:rsidR="002A2C61" w:rsidRPr="00C44943" w:rsidRDefault="002A2C61" w:rsidP="00C4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NZ"/>
        </w:rPr>
      </w:pPr>
      <w:r>
        <w:rPr>
          <w:rStyle w:val="FootnoteReference"/>
        </w:rPr>
        <w:footnoteRef/>
      </w:r>
      <w:r w:rsidRPr="0016687E">
        <w:rPr>
          <w:rFonts w:eastAsia="Times New Roman" w:cs="Arial"/>
          <w:szCs w:val="20"/>
        </w:rPr>
        <w:t xml:space="preserve">  </w:t>
      </w:r>
      <w:r w:rsidRPr="00FF58F6">
        <w:rPr>
          <w:rFonts w:eastAsia="Times New Roman" w:cs="Arial"/>
          <w:sz w:val="16"/>
          <w:szCs w:val="16"/>
        </w:rPr>
        <w:t>This assessment of current approaches is drawn from Government of Vanuatu, June 2011. Republic of Vanuatu: Port Vila Development Project, Resettlement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61" w:rsidRDefault="002A2C61">
    <w:pPr>
      <w:pStyle w:val="Header"/>
    </w:pPr>
    <w:r>
      <w:t>IRCCNH Project</w:t>
    </w:r>
    <w:r>
      <w:ptab w:relativeTo="margin" w:alignment="center" w:leader="none"/>
    </w:r>
    <w:r>
      <w:t xml:space="preserve">                               Resettlement Policy Framework</w:t>
    </w:r>
    <w:r>
      <w:ptab w:relativeTo="margin" w:alignment="right" w:leader="none"/>
    </w:r>
    <w: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A6C"/>
    <w:multiLevelType w:val="hybridMultilevel"/>
    <w:tmpl w:val="C26A1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4E0AC0"/>
    <w:multiLevelType w:val="hybridMultilevel"/>
    <w:tmpl w:val="524A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A6513"/>
    <w:multiLevelType w:val="multilevel"/>
    <w:tmpl w:val="1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0F0777E"/>
    <w:multiLevelType w:val="hybridMultilevel"/>
    <w:tmpl w:val="974E3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445344"/>
    <w:multiLevelType w:val="hybridMultilevel"/>
    <w:tmpl w:val="3A3693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3ED70F8"/>
    <w:multiLevelType w:val="multilevel"/>
    <w:tmpl w:val="F97EF7A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tabs>
          <w:tab w:val="num" w:pos="720"/>
        </w:tabs>
        <w:ind w:left="2160" w:hanging="720"/>
      </w:pPr>
      <w:rPr>
        <w:rFonts w:hint="default"/>
      </w:rPr>
    </w:lvl>
    <w:lvl w:ilvl="3">
      <w:start w:val="1"/>
      <w:numFmt w:val="decimal"/>
      <w:pStyle w:val="Heading4"/>
      <w:lvlText w:val="%1.%2.%3.%4"/>
      <w:lvlJc w:val="left"/>
      <w:pPr>
        <w:tabs>
          <w:tab w:val="num" w:pos="720"/>
        </w:tabs>
        <w:ind w:left="2880" w:hanging="720"/>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nsid w:val="33EB6B5C"/>
    <w:multiLevelType w:val="hybridMultilevel"/>
    <w:tmpl w:val="D41E17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9C71ED"/>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F945F8F"/>
    <w:multiLevelType w:val="hybridMultilevel"/>
    <w:tmpl w:val="889C7114"/>
    <w:lvl w:ilvl="0" w:tplc="AA6682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317B6"/>
    <w:multiLevelType w:val="hybridMultilevel"/>
    <w:tmpl w:val="88709D78"/>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8"/>
  </w:num>
  <w:num w:numId="3">
    <w:abstractNumId w:val="9"/>
  </w:num>
  <w:num w:numId="4">
    <w:abstractNumId w:val="3"/>
  </w:num>
  <w:num w:numId="5">
    <w:abstractNumId w:val="5"/>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ence Iautu">
    <w15:presenceInfo w15:providerId="AD" w15:userId="S-1-5-21-2366797110-1914911811-1595155588-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84"/>
    <w:rsid w:val="000053EF"/>
    <w:rsid w:val="000062D7"/>
    <w:rsid w:val="00024E8E"/>
    <w:rsid w:val="00045892"/>
    <w:rsid w:val="00054FF8"/>
    <w:rsid w:val="000951DC"/>
    <w:rsid w:val="000B675E"/>
    <w:rsid w:val="000C3A63"/>
    <w:rsid w:val="000E221C"/>
    <w:rsid w:val="000E4609"/>
    <w:rsid w:val="000F5B93"/>
    <w:rsid w:val="00107F63"/>
    <w:rsid w:val="00154E34"/>
    <w:rsid w:val="001644CF"/>
    <w:rsid w:val="0016687E"/>
    <w:rsid w:val="001B5A17"/>
    <w:rsid w:val="001C6B1E"/>
    <w:rsid w:val="002246CF"/>
    <w:rsid w:val="00280C1F"/>
    <w:rsid w:val="002A2C61"/>
    <w:rsid w:val="002D650A"/>
    <w:rsid w:val="002E0F06"/>
    <w:rsid w:val="002E1D00"/>
    <w:rsid w:val="0032404E"/>
    <w:rsid w:val="00332DE3"/>
    <w:rsid w:val="00356EDC"/>
    <w:rsid w:val="00374B1A"/>
    <w:rsid w:val="00395F26"/>
    <w:rsid w:val="003A02B7"/>
    <w:rsid w:val="003C33FB"/>
    <w:rsid w:val="003C463B"/>
    <w:rsid w:val="003E077F"/>
    <w:rsid w:val="003E0FDF"/>
    <w:rsid w:val="003F609B"/>
    <w:rsid w:val="00401FC8"/>
    <w:rsid w:val="004026E0"/>
    <w:rsid w:val="0040691F"/>
    <w:rsid w:val="0043182D"/>
    <w:rsid w:val="004455E3"/>
    <w:rsid w:val="004477B7"/>
    <w:rsid w:val="00455961"/>
    <w:rsid w:val="0048114A"/>
    <w:rsid w:val="00482613"/>
    <w:rsid w:val="004A2E2F"/>
    <w:rsid w:val="004A4B13"/>
    <w:rsid w:val="004A5EE5"/>
    <w:rsid w:val="004B616A"/>
    <w:rsid w:val="004E4E84"/>
    <w:rsid w:val="004E656E"/>
    <w:rsid w:val="004F6325"/>
    <w:rsid w:val="0050540D"/>
    <w:rsid w:val="0051704F"/>
    <w:rsid w:val="0056562E"/>
    <w:rsid w:val="00572856"/>
    <w:rsid w:val="00572B8C"/>
    <w:rsid w:val="00593B86"/>
    <w:rsid w:val="0059501D"/>
    <w:rsid w:val="005B6B40"/>
    <w:rsid w:val="005C30E9"/>
    <w:rsid w:val="005D2572"/>
    <w:rsid w:val="005D6C66"/>
    <w:rsid w:val="005F45FA"/>
    <w:rsid w:val="0060554D"/>
    <w:rsid w:val="0060707A"/>
    <w:rsid w:val="00612F07"/>
    <w:rsid w:val="006320F6"/>
    <w:rsid w:val="00694FEE"/>
    <w:rsid w:val="006A4DDD"/>
    <w:rsid w:val="006A50CB"/>
    <w:rsid w:val="006A7F43"/>
    <w:rsid w:val="006B7AC8"/>
    <w:rsid w:val="006C2DF4"/>
    <w:rsid w:val="006E4F2D"/>
    <w:rsid w:val="006E755F"/>
    <w:rsid w:val="00722B15"/>
    <w:rsid w:val="0073712A"/>
    <w:rsid w:val="00765E9B"/>
    <w:rsid w:val="0077437B"/>
    <w:rsid w:val="00776B35"/>
    <w:rsid w:val="00783D3A"/>
    <w:rsid w:val="00787472"/>
    <w:rsid w:val="00791DB5"/>
    <w:rsid w:val="007B5C4A"/>
    <w:rsid w:val="007C1D83"/>
    <w:rsid w:val="007F2CF3"/>
    <w:rsid w:val="00807C05"/>
    <w:rsid w:val="008422C0"/>
    <w:rsid w:val="0084482C"/>
    <w:rsid w:val="008665BE"/>
    <w:rsid w:val="00872FBF"/>
    <w:rsid w:val="00891B3E"/>
    <w:rsid w:val="008B75F8"/>
    <w:rsid w:val="0090010A"/>
    <w:rsid w:val="00944C48"/>
    <w:rsid w:val="00946168"/>
    <w:rsid w:val="00961E36"/>
    <w:rsid w:val="0097201F"/>
    <w:rsid w:val="009767DC"/>
    <w:rsid w:val="00976FBF"/>
    <w:rsid w:val="00A01ADF"/>
    <w:rsid w:val="00A04249"/>
    <w:rsid w:val="00A33571"/>
    <w:rsid w:val="00A40EBB"/>
    <w:rsid w:val="00A43312"/>
    <w:rsid w:val="00A4375B"/>
    <w:rsid w:val="00A667DE"/>
    <w:rsid w:val="00AA2217"/>
    <w:rsid w:val="00AA3435"/>
    <w:rsid w:val="00AB1A7C"/>
    <w:rsid w:val="00AB2B5D"/>
    <w:rsid w:val="00AE304D"/>
    <w:rsid w:val="00B119BB"/>
    <w:rsid w:val="00B40555"/>
    <w:rsid w:val="00B55E93"/>
    <w:rsid w:val="00B67CD3"/>
    <w:rsid w:val="00B826C3"/>
    <w:rsid w:val="00B96EAB"/>
    <w:rsid w:val="00BA0511"/>
    <w:rsid w:val="00BA3433"/>
    <w:rsid w:val="00BB7800"/>
    <w:rsid w:val="00BD4FF7"/>
    <w:rsid w:val="00BD703F"/>
    <w:rsid w:val="00BE74E6"/>
    <w:rsid w:val="00C44943"/>
    <w:rsid w:val="00C5144F"/>
    <w:rsid w:val="00C57353"/>
    <w:rsid w:val="00C63780"/>
    <w:rsid w:val="00C75291"/>
    <w:rsid w:val="00C923E4"/>
    <w:rsid w:val="00CA3102"/>
    <w:rsid w:val="00CC5B53"/>
    <w:rsid w:val="00CE3047"/>
    <w:rsid w:val="00D15A70"/>
    <w:rsid w:val="00D15BC0"/>
    <w:rsid w:val="00D17A39"/>
    <w:rsid w:val="00D21031"/>
    <w:rsid w:val="00D7519B"/>
    <w:rsid w:val="00D81AA2"/>
    <w:rsid w:val="00D85187"/>
    <w:rsid w:val="00D90D8E"/>
    <w:rsid w:val="00D92F03"/>
    <w:rsid w:val="00D979DA"/>
    <w:rsid w:val="00DA29CD"/>
    <w:rsid w:val="00DF185A"/>
    <w:rsid w:val="00E01484"/>
    <w:rsid w:val="00E07547"/>
    <w:rsid w:val="00E34BE5"/>
    <w:rsid w:val="00E7012B"/>
    <w:rsid w:val="00EA10D3"/>
    <w:rsid w:val="00EA77D5"/>
    <w:rsid w:val="00EE2D5A"/>
    <w:rsid w:val="00EF5B3F"/>
    <w:rsid w:val="00F20785"/>
    <w:rsid w:val="00F22F3C"/>
    <w:rsid w:val="00F332C9"/>
    <w:rsid w:val="00F333CC"/>
    <w:rsid w:val="00F44690"/>
    <w:rsid w:val="00F5437A"/>
    <w:rsid w:val="00F55496"/>
    <w:rsid w:val="00F76B41"/>
    <w:rsid w:val="00F80F15"/>
    <w:rsid w:val="00FB05D1"/>
    <w:rsid w:val="00FB23BA"/>
    <w:rsid w:val="00FB6A21"/>
    <w:rsid w:val="00FC775E"/>
    <w:rsid w:val="00FF1398"/>
    <w:rsid w:val="00FF5108"/>
    <w:rsid w:val="00FF58F6"/>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C0"/>
    <w:pPr>
      <w:jc w:val="both"/>
    </w:pPr>
    <w:rPr>
      <w:rFonts w:ascii="Arial" w:hAnsi="Arial"/>
      <w:sz w:val="20"/>
    </w:rPr>
  </w:style>
  <w:style w:type="paragraph" w:styleId="Heading1">
    <w:name w:val="heading 1"/>
    <w:basedOn w:val="Normal"/>
    <w:next w:val="BodyText"/>
    <w:link w:val="Heading1Char"/>
    <w:uiPriority w:val="9"/>
    <w:qFormat/>
    <w:rsid w:val="008422C0"/>
    <w:pPr>
      <w:keepNext/>
      <w:pageBreakBefore/>
      <w:numPr>
        <w:numId w:val="5"/>
      </w:numPr>
      <w:spacing w:after="200" w:line="240" w:lineRule="auto"/>
      <w:outlineLvl w:val="0"/>
    </w:pPr>
    <w:rPr>
      <w:rFonts w:eastAsia="ヒラギノ角ゴ Pro W3" w:cs="Arial"/>
      <w:b/>
      <w:bCs/>
      <w:caps/>
      <w:color w:val="004637"/>
      <w:kern w:val="32"/>
      <w:sz w:val="28"/>
      <w:szCs w:val="28"/>
      <w:lang w:val="en-AU" w:eastAsia="en-AU"/>
    </w:rPr>
  </w:style>
  <w:style w:type="paragraph" w:styleId="Heading2">
    <w:name w:val="heading 2"/>
    <w:basedOn w:val="Normal"/>
    <w:next w:val="BodyText2"/>
    <w:link w:val="Heading2Char"/>
    <w:uiPriority w:val="9"/>
    <w:qFormat/>
    <w:rsid w:val="008422C0"/>
    <w:pPr>
      <w:keepNext/>
      <w:numPr>
        <w:ilvl w:val="1"/>
        <w:numId w:val="5"/>
      </w:numPr>
      <w:spacing w:after="200" w:line="240" w:lineRule="auto"/>
      <w:outlineLvl w:val="1"/>
    </w:pPr>
    <w:rPr>
      <w:rFonts w:eastAsia="Times New Roman" w:cs="Arial"/>
      <w:b/>
      <w:bCs/>
      <w:iCs/>
      <w:color w:val="787878"/>
      <w:sz w:val="28"/>
      <w:szCs w:val="28"/>
      <w:lang w:val="en-AU" w:eastAsia="en-AU"/>
    </w:rPr>
  </w:style>
  <w:style w:type="paragraph" w:styleId="Heading3">
    <w:name w:val="heading 3"/>
    <w:basedOn w:val="Heading2"/>
    <w:next w:val="BodyText3"/>
    <w:link w:val="Heading3Char"/>
    <w:uiPriority w:val="9"/>
    <w:qFormat/>
    <w:rsid w:val="008422C0"/>
    <w:pPr>
      <w:numPr>
        <w:ilvl w:val="2"/>
      </w:numPr>
      <w:spacing w:after="120"/>
      <w:outlineLvl w:val="2"/>
    </w:pPr>
    <w:rPr>
      <w:b w:val="0"/>
      <w:bCs w:val="0"/>
      <w:color w:val="004637"/>
      <w:sz w:val="22"/>
      <w:szCs w:val="24"/>
    </w:rPr>
  </w:style>
  <w:style w:type="paragraph" w:styleId="Heading4">
    <w:name w:val="heading 4"/>
    <w:basedOn w:val="Normal"/>
    <w:next w:val="Normal"/>
    <w:link w:val="Heading4Char"/>
    <w:uiPriority w:val="9"/>
    <w:qFormat/>
    <w:rsid w:val="00593B86"/>
    <w:pPr>
      <w:keepNext/>
      <w:numPr>
        <w:ilvl w:val="3"/>
        <w:numId w:val="5"/>
      </w:numPr>
      <w:spacing w:after="0" w:line="240" w:lineRule="auto"/>
      <w:outlineLvl w:val="3"/>
    </w:pPr>
    <w:rPr>
      <w:rFonts w:eastAsia="Times New Roman" w:cs="Times New Roman"/>
      <w:b/>
      <w:bCs/>
      <w:color w:val="787878"/>
      <w:sz w:val="24"/>
      <w:szCs w:val="24"/>
      <w:lang w:val="en-AU" w:eastAsia="en-AU"/>
    </w:rPr>
  </w:style>
  <w:style w:type="paragraph" w:styleId="Heading5">
    <w:name w:val="heading 5"/>
    <w:basedOn w:val="Normal"/>
    <w:next w:val="Normal"/>
    <w:link w:val="Heading5Char"/>
    <w:uiPriority w:val="9"/>
    <w:unhideWhenUsed/>
    <w:qFormat/>
    <w:rsid w:val="00D17A39"/>
    <w:pPr>
      <w:keepNext/>
      <w:keepLines/>
      <w:spacing w:before="200" w:after="200" w:line="276" w:lineRule="auto"/>
      <w:ind w:left="1008" w:hanging="1008"/>
      <w:outlineLvl w:val="4"/>
    </w:pPr>
    <w:rPr>
      <w:rFonts w:asciiTheme="majorHAnsi" w:eastAsiaTheme="majorEastAsia" w:hAnsiTheme="majorHAnsi" w:cstheme="majorBidi"/>
      <w:color w:val="C9C9C9" w:themeColor="accent3" w:themeTint="99"/>
      <w:sz w:val="24"/>
    </w:rPr>
  </w:style>
  <w:style w:type="paragraph" w:styleId="Heading6">
    <w:name w:val="heading 6"/>
    <w:basedOn w:val="Normal"/>
    <w:next w:val="Normal"/>
    <w:link w:val="Heading6Char"/>
    <w:uiPriority w:val="9"/>
    <w:semiHidden/>
    <w:unhideWhenUsed/>
    <w:qFormat/>
    <w:rsid w:val="00D17A39"/>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17A39"/>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7A39"/>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17A39"/>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4E4E84"/>
    <w:rPr>
      <w:rFonts w:ascii="Courier New" w:eastAsia="Times New Roman" w:hAnsi="Courier New" w:cs="Courier New"/>
      <w:sz w:val="20"/>
      <w:szCs w:val="20"/>
    </w:rPr>
  </w:style>
  <w:style w:type="paragraph" w:styleId="Header">
    <w:name w:val="header"/>
    <w:basedOn w:val="Normal"/>
    <w:link w:val="HeaderChar"/>
    <w:uiPriority w:val="99"/>
    <w:unhideWhenUsed/>
    <w:rsid w:val="0060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4D"/>
  </w:style>
  <w:style w:type="paragraph" w:styleId="Footer">
    <w:name w:val="footer"/>
    <w:basedOn w:val="Normal"/>
    <w:link w:val="FooterChar"/>
    <w:uiPriority w:val="99"/>
    <w:unhideWhenUsed/>
    <w:rsid w:val="0060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4D"/>
  </w:style>
  <w:style w:type="table" w:styleId="TableGrid">
    <w:name w:val="Table Grid"/>
    <w:aliases w:val="表格样式"/>
    <w:basedOn w:val="TableNormal"/>
    <w:uiPriority w:val="59"/>
    <w:rsid w:val="0097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iste 1,List Paragraph1,Bulit List -  Paragraph,ADB paragraph numbering,Bulleted List Paragraph,Recommendation,List Paragraph11,ADB List Paragraph,123 List Paragraph,Bullets,List Paragraph nowy,References,ANNEX"/>
    <w:basedOn w:val="Normal"/>
    <w:link w:val="ListParagraphChar"/>
    <w:uiPriority w:val="34"/>
    <w:qFormat/>
    <w:rsid w:val="0016687E"/>
    <w:pPr>
      <w:ind w:left="720"/>
      <w:contextualSpacing/>
    </w:pPr>
  </w:style>
  <w:style w:type="paragraph" w:styleId="BalloonText">
    <w:name w:val="Balloon Text"/>
    <w:basedOn w:val="Normal"/>
    <w:link w:val="BalloonTextChar"/>
    <w:uiPriority w:val="99"/>
    <w:semiHidden/>
    <w:unhideWhenUsed/>
    <w:rsid w:val="0048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13"/>
    <w:rPr>
      <w:rFonts w:ascii="Segoe UI" w:hAnsi="Segoe UI" w:cs="Segoe UI"/>
      <w:sz w:val="18"/>
      <w:szCs w:val="18"/>
    </w:rPr>
  </w:style>
  <w:style w:type="paragraph" w:styleId="BodyText3">
    <w:name w:val="Body Text 3"/>
    <w:basedOn w:val="BodyText"/>
    <w:link w:val="BodyText3Char"/>
    <w:qFormat/>
    <w:rsid w:val="00B119BB"/>
    <w:pPr>
      <w:spacing w:after="0" w:line="240" w:lineRule="auto"/>
      <w:ind w:left="1440"/>
    </w:pPr>
    <w:rPr>
      <w:rFonts w:eastAsia="Times New Roman" w:cs="Times New Roman"/>
      <w:szCs w:val="16"/>
      <w:lang w:val="en-AU" w:eastAsia="en-AU"/>
    </w:rPr>
  </w:style>
  <w:style w:type="character" w:customStyle="1" w:styleId="BodyText3Char">
    <w:name w:val="Body Text 3 Char"/>
    <w:basedOn w:val="DefaultParagraphFont"/>
    <w:link w:val="BodyText3"/>
    <w:rsid w:val="00B119BB"/>
    <w:rPr>
      <w:rFonts w:ascii="Arial" w:eastAsia="Times New Roman" w:hAnsi="Arial" w:cs="Times New Roman"/>
      <w:szCs w:val="16"/>
      <w:lang w:val="en-AU" w:eastAsia="en-AU"/>
    </w:rPr>
  </w:style>
  <w:style w:type="paragraph" w:styleId="BodyText">
    <w:name w:val="Body Text"/>
    <w:basedOn w:val="Normal"/>
    <w:link w:val="BodyTextChar"/>
    <w:uiPriority w:val="99"/>
    <w:semiHidden/>
    <w:unhideWhenUsed/>
    <w:rsid w:val="00B119BB"/>
    <w:pPr>
      <w:spacing w:after="120"/>
    </w:pPr>
  </w:style>
  <w:style w:type="character" w:customStyle="1" w:styleId="BodyTextChar">
    <w:name w:val="Body Text Char"/>
    <w:basedOn w:val="DefaultParagraphFont"/>
    <w:link w:val="BodyText"/>
    <w:uiPriority w:val="99"/>
    <w:semiHidden/>
    <w:rsid w:val="00B119BB"/>
  </w:style>
  <w:style w:type="character" w:customStyle="1" w:styleId="ListParagraphChar">
    <w:name w:val="List Paragraph Char"/>
    <w:aliases w:val="Numbered List Paragraph Char,Liste 1 Char,List Paragraph1 Char,Bulit List -  Paragraph Char,ADB paragraph numbering Char,Bulleted List Paragraph Char,Recommendation Char,List Paragraph11 Char,ADB List Paragraph Char,Bullets Char"/>
    <w:basedOn w:val="DefaultParagraphFont"/>
    <w:link w:val="ListParagraph"/>
    <w:qFormat/>
    <w:locked/>
    <w:rsid w:val="00B119BB"/>
  </w:style>
  <w:style w:type="character" w:customStyle="1" w:styleId="Heading1Char">
    <w:name w:val="Heading 1 Char"/>
    <w:basedOn w:val="DefaultParagraphFont"/>
    <w:link w:val="Heading1"/>
    <w:uiPriority w:val="9"/>
    <w:rsid w:val="008422C0"/>
    <w:rPr>
      <w:rFonts w:ascii="Arial" w:eastAsia="ヒラギノ角ゴ Pro W3" w:hAnsi="Arial" w:cs="Arial"/>
      <w:b/>
      <w:bCs/>
      <w:caps/>
      <w:color w:val="004637"/>
      <w:kern w:val="32"/>
      <w:sz w:val="28"/>
      <w:szCs w:val="28"/>
      <w:lang w:val="en-AU" w:eastAsia="en-AU"/>
    </w:rPr>
  </w:style>
  <w:style w:type="character" w:customStyle="1" w:styleId="Heading2Char">
    <w:name w:val="Heading 2 Char"/>
    <w:basedOn w:val="DefaultParagraphFont"/>
    <w:link w:val="Heading2"/>
    <w:uiPriority w:val="9"/>
    <w:rsid w:val="008422C0"/>
    <w:rPr>
      <w:rFonts w:ascii="Arial" w:eastAsia="Times New Roman" w:hAnsi="Arial" w:cs="Arial"/>
      <w:b/>
      <w:bCs/>
      <w:iCs/>
      <w:color w:val="787878"/>
      <w:sz w:val="28"/>
      <w:szCs w:val="28"/>
      <w:lang w:val="en-AU" w:eastAsia="en-AU"/>
    </w:rPr>
  </w:style>
  <w:style w:type="character" w:customStyle="1" w:styleId="Heading3Char">
    <w:name w:val="Heading 3 Char"/>
    <w:basedOn w:val="DefaultParagraphFont"/>
    <w:link w:val="Heading3"/>
    <w:uiPriority w:val="9"/>
    <w:rsid w:val="008422C0"/>
    <w:rPr>
      <w:rFonts w:ascii="Arial" w:eastAsia="Times New Roman" w:hAnsi="Arial" w:cs="Arial"/>
      <w:iCs/>
      <w:color w:val="004637"/>
      <w:szCs w:val="24"/>
      <w:lang w:val="en-AU" w:eastAsia="en-AU"/>
    </w:rPr>
  </w:style>
  <w:style w:type="character" w:customStyle="1" w:styleId="Heading4Char">
    <w:name w:val="Heading 4 Char"/>
    <w:basedOn w:val="DefaultParagraphFont"/>
    <w:link w:val="Heading4"/>
    <w:rsid w:val="00593B86"/>
    <w:rPr>
      <w:rFonts w:ascii="Arial" w:eastAsia="Times New Roman" w:hAnsi="Arial" w:cs="Times New Roman"/>
      <w:b/>
      <w:bCs/>
      <w:color w:val="787878"/>
      <w:sz w:val="24"/>
      <w:szCs w:val="24"/>
      <w:lang w:val="en-AU" w:eastAsia="en-AU"/>
    </w:rPr>
  </w:style>
  <w:style w:type="paragraph" w:customStyle="1" w:styleId="Default">
    <w:name w:val="Default"/>
    <w:rsid w:val="00593B86"/>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593B86"/>
    <w:pPr>
      <w:spacing w:after="120" w:line="480" w:lineRule="auto"/>
    </w:pPr>
  </w:style>
  <w:style w:type="character" w:customStyle="1" w:styleId="BodyText2Char">
    <w:name w:val="Body Text 2 Char"/>
    <w:basedOn w:val="DefaultParagraphFont"/>
    <w:link w:val="BodyText2"/>
    <w:uiPriority w:val="99"/>
    <w:semiHidden/>
    <w:rsid w:val="00593B86"/>
  </w:style>
  <w:style w:type="character" w:styleId="CommentReference">
    <w:name w:val="annotation reference"/>
    <w:basedOn w:val="DefaultParagraphFont"/>
    <w:uiPriority w:val="99"/>
    <w:semiHidden/>
    <w:unhideWhenUsed/>
    <w:rsid w:val="0056562E"/>
    <w:rPr>
      <w:sz w:val="16"/>
      <w:szCs w:val="16"/>
    </w:rPr>
  </w:style>
  <w:style w:type="paragraph" w:styleId="CommentText">
    <w:name w:val="annotation text"/>
    <w:basedOn w:val="Normal"/>
    <w:link w:val="CommentTextChar"/>
    <w:uiPriority w:val="99"/>
    <w:semiHidden/>
    <w:unhideWhenUsed/>
    <w:rsid w:val="0056562E"/>
    <w:pPr>
      <w:spacing w:line="240" w:lineRule="auto"/>
    </w:pPr>
    <w:rPr>
      <w:szCs w:val="20"/>
    </w:rPr>
  </w:style>
  <w:style w:type="character" w:customStyle="1" w:styleId="CommentTextChar">
    <w:name w:val="Comment Text Char"/>
    <w:basedOn w:val="DefaultParagraphFont"/>
    <w:link w:val="CommentText"/>
    <w:uiPriority w:val="99"/>
    <w:semiHidden/>
    <w:rsid w:val="0056562E"/>
    <w:rPr>
      <w:sz w:val="20"/>
      <w:szCs w:val="20"/>
    </w:rPr>
  </w:style>
  <w:style w:type="paragraph" w:styleId="CommentSubject">
    <w:name w:val="annotation subject"/>
    <w:basedOn w:val="CommentText"/>
    <w:next w:val="CommentText"/>
    <w:link w:val="CommentSubjectChar"/>
    <w:uiPriority w:val="99"/>
    <w:semiHidden/>
    <w:unhideWhenUsed/>
    <w:rsid w:val="0056562E"/>
    <w:rPr>
      <w:b/>
      <w:bCs/>
    </w:rPr>
  </w:style>
  <w:style w:type="character" w:customStyle="1" w:styleId="CommentSubjectChar">
    <w:name w:val="Comment Subject Char"/>
    <w:basedOn w:val="CommentTextChar"/>
    <w:link w:val="CommentSubject"/>
    <w:uiPriority w:val="99"/>
    <w:semiHidden/>
    <w:rsid w:val="0056562E"/>
    <w:rPr>
      <w:b/>
      <w:bCs/>
      <w:sz w:val="20"/>
      <w:szCs w:val="20"/>
    </w:rPr>
  </w:style>
  <w:style w:type="character" w:customStyle="1" w:styleId="Heading5Char">
    <w:name w:val="Heading 5 Char"/>
    <w:basedOn w:val="DefaultParagraphFont"/>
    <w:link w:val="Heading5"/>
    <w:uiPriority w:val="9"/>
    <w:rsid w:val="00D17A39"/>
    <w:rPr>
      <w:rFonts w:asciiTheme="majorHAnsi" w:eastAsiaTheme="majorEastAsia" w:hAnsiTheme="majorHAnsi" w:cstheme="majorBidi"/>
      <w:color w:val="C9C9C9" w:themeColor="accent3" w:themeTint="99"/>
      <w:sz w:val="24"/>
    </w:rPr>
  </w:style>
  <w:style w:type="character" w:customStyle="1" w:styleId="Heading6Char">
    <w:name w:val="Heading 6 Char"/>
    <w:basedOn w:val="DefaultParagraphFont"/>
    <w:link w:val="Heading6"/>
    <w:uiPriority w:val="9"/>
    <w:semiHidden/>
    <w:rsid w:val="00D17A3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17A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7A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7A39"/>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footnote text,fn,FOOTNOTES,Footnote Text Char2,Footnote Text Char1 Char,Footnote Text Char Char Char1,Footnote Text Char1 Char Char Char1,Footnote Text Char1 Char1 Char,Footnote Text Char Char Char Char,ADB,ADB Char,ft,脚注文本,f"/>
    <w:basedOn w:val="Normal"/>
    <w:link w:val="FootnoteTextChar"/>
    <w:uiPriority w:val="99"/>
    <w:qFormat/>
    <w:rsid w:val="00D17A39"/>
    <w:pPr>
      <w:spacing w:after="200" w:line="276" w:lineRule="auto"/>
    </w:pPr>
    <w:rPr>
      <w:rFonts w:ascii="Calibri" w:eastAsia="Times New Roman" w:hAnsi="Calibri" w:cs="Times New Roman"/>
      <w:szCs w:val="20"/>
      <w:lang w:bidi="en-US"/>
    </w:rPr>
  </w:style>
  <w:style w:type="character" w:customStyle="1" w:styleId="FootnoteTextChar">
    <w:name w:val="Footnote Text Char"/>
    <w:aliases w:val="single space Char,footnote text Char,fn Char,FOOTNOTES Char,Footnote Text Char2 Char,Footnote Text Char1 Char Char,Footnote Text Char Char Char1 Char,Footnote Text Char1 Char Char Char1 Char,Footnote Text Char1 Char1 Char Char,ft Char"/>
    <w:basedOn w:val="DefaultParagraphFont"/>
    <w:link w:val="FootnoteText"/>
    <w:uiPriority w:val="99"/>
    <w:rsid w:val="00D17A39"/>
    <w:rPr>
      <w:rFonts w:ascii="Calibri" w:eastAsia="Times New Roman" w:hAnsi="Calibri" w:cs="Times New Roman"/>
      <w:sz w:val="20"/>
      <w:szCs w:val="20"/>
      <w:lang w:bidi="en-US"/>
    </w:rPr>
  </w:style>
  <w:style w:type="character" w:styleId="FootnoteReference">
    <w:name w:val="footnote reference"/>
    <w:aliases w:val="ftref,16 Point,Superscript 6 Point,脚注引用,(NECG) Footnote Reference,Ref,de nota al pie,fr,Footnote Ref in FtNote,SUPERS,BVI fnr,Footnote,Style 6,Used by Word for Help footnote symbols, BVI fnr,Footnote Reference1,heading1,Знак сноски-FN"/>
    <w:basedOn w:val="DefaultParagraphFont"/>
    <w:uiPriority w:val="99"/>
    <w:qFormat/>
    <w:rsid w:val="00D17A39"/>
    <w:rPr>
      <w:vertAlign w:val="superscript"/>
    </w:rPr>
  </w:style>
  <w:style w:type="paragraph" w:customStyle="1" w:styleId="AppendixCover">
    <w:name w:val="Appendix Cover"/>
    <w:basedOn w:val="Normal"/>
    <w:link w:val="AppendixCoverChar"/>
    <w:qFormat/>
    <w:rsid w:val="00EF5B3F"/>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Arial"/>
      <w:b/>
      <w:color w:val="FF3399"/>
      <w:sz w:val="28"/>
      <w:szCs w:val="28"/>
    </w:rPr>
  </w:style>
  <w:style w:type="paragraph" w:customStyle="1" w:styleId="AppendixTitle">
    <w:name w:val="Appendix Title"/>
    <w:basedOn w:val="Normal"/>
    <w:link w:val="AppendixTitleChar"/>
    <w:qFormat/>
    <w:rsid w:val="00EF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Arial"/>
      <w:color w:val="FF0066"/>
      <w:sz w:val="28"/>
      <w:szCs w:val="28"/>
    </w:rPr>
  </w:style>
  <w:style w:type="character" w:customStyle="1" w:styleId="AppendixCoverChar">
    <w:name w:val="Appendix Cover Char"/>
    <w:basedOn w:val="DefaultParagraphFont"/>
    <w:link w:val="AppendixCover"/>
    <w:rsid w:val="00EF5B3F"/>
    <w:rPr>
      <w:rFonts w:ascii="Arial" w:eastAsia="Times New Roman" w:hAnsi="Arial" w:cs="Arial"/>
      <w:b/>
      <w:color w:val="FF3399"/>
      <w:sz w:val="28"/>
      <w:szCs w:val="28"/>
    </w:rPr>
  </w:style>
  <w:style w:type="paragraph" w:styleId="TOC1">
    <w:name w:val="toc 1"/>
    <w:basedOn w:val="Normal"/>
    <w:next w:val="Normal"/>
    <w:autoRedefine/>
    <w:uiPriority w:val="39"/>
    <w:unhideWhenUsed/>
    <w:rsid w:val="00976FBF"/>
    <w:pPr>
      <w:spacing w:after="100"/>
    </w:pPr>
  </w:style>
  <w:style w:type="character" w:customStyle="1" w:styleId="AppendixTitleChar">
    <w:name w:val="Appendix Title Char"/>
    <w:basedOn w:val="DefaultParagraphFont"/>
    <w:link w:val="AppendixTitle"/>
    <w:rsid w:val="00EF5B3F"/>
    <w:rPr>
      <w:rFonts w:ascii="Arial" w:eastAsia="Times New Roman" w:hAnsi="Arial" w:cs="Arial"/>
      <w:color w:val="FF0066"/>
      <w:sz w:val="28"/>
      <w:szCs w:val="28"/>
    </w:rPr>
  </w:style>
  <w:style w:type="paragraph" w:styleId="TOC2">
    <w:name w:val="toc 2"/>
    <w:basedOn w:val="Normal"/>
    <w:next w:val="Normal"/>
    <w:autoRedefine/>
    <w:uiPriority w:val="39"/>
    <w:unhideWhenUsed/>
    <w:rsid w:val="00976FBF"/>
    <w:pPr>
      <w:spacing w:after="100"/>
      <w:ind w:left="200"/>
    </w:pPr>
  </w:style>
  <w:style w:type="character" w:styleId="Hyperlink">
    <w:name w:val="Hyperlink"/>
    <w:basedOn w:val="DefaultParagraphFont"/>
    <w:uiPriority w:val="99"/>
    <w:unhideWhenUsed/>
    <w:rsid w:val="00976F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C0"/>
    <w:pPr>
      <w:jc w:val="both"/>
    </w:pPr>
    <w:rPr>
      <w:rFonts w:ascii="Arial" w:hAnsi="Arial"/>
      <w:sz w:val="20"/>
    </w:rPr>
  </w:style>
  <w:style w:type="paragraph" w:styleId="Heading1">
    <w:name w:val="heading 1"/>
    <w:basedOn w:val="Normal"/>
    <w:next w:val="BodyText"/>
    <w:link w:val="Heading1Char"/>
    <w:uiPriority w:val="9"/>
    <w:qFormat/>
    <w:rsid w:val="008422C0"/>
    <w:pPr>
      <w:keepNext/>
      <w:pageBreakBefore/>
      <w:numPr>
        <w:numId w:val="5"/>
      </w:numPr>
      <w:spacing w:after="200" w:line="240" w:lineRule="auto"/>
      <w:outlineLvl w:val="0"/>
    </w:pPr>
    <w:rPr>
      <w:rFonts w:eastAsia="ヒラギノ角ゴ Pro W3" w:cs="Arial"/>
      <w:b/>
      <w:bCs/>
      <w:caps/>
      <w:color w:val="004637"/>
      <w:kern w:val="32"/>
      <w:sz w:val="28"/>
      <w:szCs w:val="28"/>
      <w:lang w:val="en-AU" w:eastAsia="en-AU"/>
    </w:rPr>
  </w:style>
  <w:style w:type="paragraph" w:styleId="Heading2">
    <w:name w:val="heading 2"/>
    <w:basedOn w:val="Normal"/>
    <w:next w:val="BodyText2"/>
    <w:link w:val="Heading2Char"/>
    <w:uiPriority w:val="9"/>
    <w:qFormat/>
    <w:rsid w:val="008422C0"/>
    <w:pPr>
      <w:keepNext/>
      <w:numPr>
        <w:ilvl w:val="1"/>
        <w:numId w:val="5"/>
      </w:numPr>
      <w:spacing w:after="200" w:line="240" w:lineRule="auto"/>
      <w:outlineLvl w:val="1"/>
    </w:pPr>
    <w:rPr>
      <w:rFonts w:eastAsia="Times New Roman" w:cs="Arial"/>
      <w:b/>
      <w:bCs/>
      <w:iCs/>
      <w:color w:val="787878"/>
      <w:sz w:val="28"/>
      <w:szCs w:val="28"/>
      <w:lang w:val="en-AU" w:eastAsia="en-AU"/>
    </w:rPr>
  </w:style>
  <w:style w:type="paragraph" w:styleId="Heading3">
    <w:name w:val="heading 3"/>
    <w:basedOn w:val="Heading2"/>
    <w:next w:val="BodyText3"/>
    <w:link w:val="Heading3Char"/>
    <w:uiPriority w:val="9"/>
    <w:qFormat/>
    <w:rsid w:val="008422C0"/>
    <w:pPr>
      <w:numPr>
        <w:ilvl w:val="2"/>
      </w:numPr>
      <w:spacing w:after="120"/>
      <w:outlineLvl w:val="2"/>
    </w:pPr>
    <w:rPr>
      <w:b w:val="0"/>
      <w:bCs w:val="0"/>
      <w:color w:val="004637"/>
      <w:sz w:val="22"/>
      <w:szCs w:val="24"/>
    </w:rPr>
  </w:style>
  <w:style w:type="paragraph" w:styleId="Heading4">
    <w:name w:val="heading 4"/>
    <w:basedOn w:val="Normal"/>
    <w:next w:val="Normal"/>
    <w:link w:val="Heading4Char"/>
    <w:uiPriority w:val="9"/>
    <w:qFormat/>
    <w:rsid w:val="00593B86"/>
    <w:pPr>
      <w:keepNext/>
      <w:numPr>
        <w:ilvl w:val="3"/>
        <w:numId w:val="5"/>
      </w:numPr>
      <w:spacing w:after="0" w:line="240" w:lineRule="auto"/>
      <w:outlineLvl w:val="3"/>
    </w:pPr>
    <w:rPr>
      <w:rFonts w:eastAsia="Times New Roman" w:cs="Times New Roman"/>
      <w:b/>
      <w:bCs/>
      <w:color w:val="787878"/>
      <w:sz w:val="24"/>
      <w:szCs w:val="24"/>
      <w:lang w:val="en-AU" w:eastAsia="en-AU"/>
    </w:rPr>
  </w:style>
  <w:style w:type="paragraph" w:styleId="Heading5">
    <w:name w:val="heading 5"/>
    <w:basedOn w:val="Normal"/>
    <w:next w:val="Normal"/>
    <w:link w:val="Heading5Char"/>
    <w:uiPriority w:val="9"/>
    <w:unhideWhenUsed/>
    <w:qFormat/>
    <w:rsid w:val="00D17A39"/>
    <w:pPr>
      <w:keepNext/>
      <w:keepLines/>
      <w:spacing w:before="200" w:after="200" w:line="276" w:lineRule="auto"/>
      <w:ind w:left="1008" w:hanging="1008"/>
      <w:outlineLvl w:val="4"/>
    </w:pPr>
    <w:rPr>
      <w:rFonts w:asciiTheme="majorHAnsi" w:eastAsiaTheme="majorEastAsia" w:hAnsiTheme="majorHAnsi" w:cstheme="majorBidi"/>
      <w:color w:val="C9C9C9" w:themeColor="accent3" w:themeTint="99"/>
      <w:sz w:val="24"/>
    </w:rPr>
  </w:style>
  <w:style w:type="paragraph" w:styleId="Heading6">
    <w:name w:val="heading 6"/>
    <w:basedOn w:val="Normal"/>
    <w:next w:val="Normal"/>
    <w:link w:val="Heading6Char"/>
    <w:uiPriority w:val="9"/>
    <w:semiHidden/>
    <w:unhideWhenUsed/>
    <w:qFormat/>
    <w:rsid w:val="00D17A39"/>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17A39"/>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7A39"/>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17A39"/>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4E4E84"/>
    <w:rPr>
      <w:rFonts w:ascii="Courier New" w:eastAsia="Times New Roman" w:hAnsi="Courier New" w:cs="Courier New"/>
      <w:sz w:val="20"/>
      <w:szCs w:val="20"/>
    </w:rPr>
  </w:style>
  <w:style w:type="paragraph" w:styleId="Header">
    <w:name w:val="header"/>
    <w:basedOn w:val="Normal"/>
    <w:link w:val="HeaderChar"/>
    <w:uiPriority w:val="99"/>
    <w:unhideWhenUsed/>
    <w:rsid w:val="0060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4D"/>
  </w:style>
  <w:style w:type="paragraph" w:styleId="Footer">
    <w:name w:val="footer"/>
    <w:basedOn w:val="Normal"/>
    <w:link w:val="FooterChar"/>
    <w:uiPriority w:val="99"/>
    <w:unhideWhenUsed/>
    <w:rsid w:val="0060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4D"/>
  </w:style>
  <w:style w:type="table" w:styleId="TableGrid">
    <w:name w:val="Table Grid"/>
    <w:aliases w:val="表格样式"/>
    <w:basedOn w:val="TableNormal"/>
    <w:uiPriority w:val="59"/>
    <w:rsid w:val="0097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iste 1,List Paragraph1,Bulit List -  Paragraph,ADB paragraph numbering,Bulleted List Paragraph,Recommendation,List Paragraph11,ADB List Paragraph,123 List Paragraph,Bullets,List Paragraph nowy,References,ANNEX"/>
    <w:basedOn w:val="Normal"/>
    <w:link w:val="ListParagraphChar"/>
    <w:uiPriority w:val="34"/>
    <w:qFormat/>
    <w:rsid w:val="0016687E"/>
    <w:pPr>
      <w:ind w:left="720"/>
      <w:contextualSpacing/>
    </w:pPr>
  </w:style>
  <w:style w:type="paragraph" w:styleId="BalloonText">
    <w:name w:val="Balloon Text"/>
    <w:basedOn w:val="Normal"/>
    <w:link w:val="BalloonTextChar"/>
    <w:uiPriority w:val="99"/>
    <w:semiHidden/>
    <w:unhideWhenUsed/>
    <w:rsid w:val="0048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13"/>
    <w:rPr>
      <w:rFonts w:ascii="Segoe UI" w:hAnsi="Segoe UI" w:cs="Segoe UI"/>
      <w:sz w:val="18"/>
      <w:szCs w:val="18"/>
    </w:rPr>
  </w:style>
  <w:style w:type="paragraph" w:styleId="BodyText3">
    <w:name w:val="Body Text 3"/>
    <w:basedOn w:val="BodyText"/>
    <w:link w:val="BodyText3Char"/>
    <w:qFormat/>
    <w:rsid w:val="00B119BB"/>
    <w:pPr>
      <w:spacing w:after="0" w:line="240" w:lineRule="auto"/>
      <w:ind w:left="1440"/>
    </w:pPr>
    <w:rPr>
      <w:rFonts w:eastAsia="Times New Roman" w:cs="Times New Roman"/>
      <w:szCs w:val="16"/>
      <w:lang w:val="en-AU" w:eastAsia="en-AU"/>
    </w:rPr>
  </w:style>
  <w:style w:type="character" w:customStyle="1" w:styleId="BodyText3Char">
    <w:name w:val="Body Text 3 Char"/>
    <w:basedOn w:val="DefaultParagraphFont"/>
    <w:link w:val="BodyText3"/>
    <w:rsid w:val="00B119BB"/>
    <w:rPr>
      <w:rFonts w:ascii="Arial" w:eastAsia="Times New Roman" w:hAnsi="Arial" w:cs="Times New Roman"/>
      <w:szCs w:val="16"/>
      <w:lang w:val="en-AU" w:eastAsia="en-AU"/>
    </w:rPr>
  </w:style>
  <w:style w:type="paragraph" w:styleId="BodyText">
    <w:name w:val="Body Text"/>
    <w:basedOn w:val="Normal"/>
    <w:link w:val="BodyTextChar"/>
    <w:uiPriority w:val="99"/>
    <w:semiHidden/>
    <w:unhideWhenUsed/>
    <w:rsid w:val="00B119BB"/>
    <w:pPr>
      <w:spacing w:after="120"/>
    </w:pPr>
  </w:style>
  <w:style w:type="character" w:customStyle="1" w:styleId="BodyTextChar">
    <w:name w:val="Body Text Char"/>
    <w:basedOn w:val="DefaultParagraphFont"/>
    <w:link w:val="BodyText"/>
    <w:uiPriority w:val="99"/>
    <w:semiHidden/>
    <w:rsid w:val="00B119BB"/>
  </w:style>
  <w:style w:type="character" w:customStyle="1" w:styleId="ListParagraphChar">
    <w:name w:val="List Paragraph Char"/>
    <w:aliases w:val="Numbered List Paragraph Char,Liste 1 Char,List Paragraph1 Char,Bulit List -  Paragraph Char,ADB paragraph numbering Char,Bulleted List Paragraph Char,Recommendation Char,List Paragraph11 Char,ADB List Paragraph Char,Bullets Char"/>
    <w:basedOn w:val="DefaultParagraphFont"/>
    <w:link w:val="ListParagraph"/>
    <w:qFormat/>
    <w:locked/>
    <w:rsid w:val="00B119BB"/>
  </w:style>
  <w:style w:type="character" w:customStyle="1" w:styleId="Heading1Char">
    <w:name w:val="Heading 1 Char"/>
    <w:basedOn w:val="DefaultParagraphFont"/>
    <w:link w:val="Heading1"/>
    <w:uiPriority w:val="9"/>
    <w:rsid w:val="008422C0"/>
    <w:rPr>
      <w:rFonts w:ascii="Arial" w:eastAsia="ヒラギノ角ゴ Pro W3" w:hAnsi="Arial" w:cs="Arial"/>
      <w:b/>
      <w:bCs/>
      <w:caps/>
      <w:color w:val="004637"/>
      <w:kern w:val="32"/>
      <w:sz w:val="28"/>
      <w:szCs w:val="28"/>
      <w:lang w:val="en-AU" w:eastAsia="en-AU"/>
    </w:rPr>
  </w:style>
  <w:style w:type="character" w:customStyle="1" w:styleId="Heading2Char">
    <w:name w:val="Heading 2 Char"/>
    <w:basedOn w:val="DefaultParagraphFont"/>
    <w:link w:val="Heading2"/>
    <w:uiPriority w:val="9"/>
    <w:rsid w:val="008422C0"/>
    <w:rPr>
      <w:rFonts w:ascii="Arial" w:eastAsia="Times New Roman" w:hAnsi="Arial" w:cs="Arial"/>
      <w:b/>
      <w:bCs/>
      <w:iCs/>
      <w:color w:val="787878"/>
      <w:sz w:val="28"/>
      <w:szCs w:val="28"/>
      <w:lang w:val="en-AU" w:eastAsia="en-AU"/>
    </w:rPr>
  </w:style>
  <w:style w:type="character" w:customStyle="1" w:styleId="Heading3Char">
    <w:name w:val="Heading 3 Char"/>
    <w:basedOn w:val="DefaultParagraphFont"/>
    <w:link w:val="Heading3"/>
    <w:uiPriority w:val="9"/>
    <w:rsid w:val="008422C0"/>
    <w:rPr>
      <w:rFonts w:ascii="Arial" w:eastAsia="Times New Roman" w:hAnsi="Arial" w:cs="Arial"/>
      <w:iCs/>
      <w:color w:val="004637"/>
      <w:szCs w:val="24"/>
      <w:lang w:val="en-AU" w:eastAsia="en-AU"/>
    </w:rPr>
  </w:style>
  <w:style w:type="character" w:customStyle="1" w:styleId="Heading4Char">
    <w:name w:val="Heading 4 Char"/>
    <w:basedOn w:val="DefaultParagraphFont"/>
    <w:link w:val="Heading4"/>
    <w:rsid w:val="00593B86"/>
    <w:rPr>
      <w:rFonts w:ascii="Arial" w:eastAsia="Times New Roman" w:hAnsi="Arial" w:cs="Times New Roman"/>
      <w:b/>
      <w:bCs/>
      <w:color w:val="787878"/>
      <w:sz w:val="24"/>
      <w:szCs w:val="24"/>
      <w:lang w:val="en-AU" w:eastAsia="en-AU"/>
    </w:rPr>
  </w:style>
  <w:style w:type="paragraph" w:customStyle="1" w:styleId="Default">
    <w:name w:val="Default"/>
    <w:rsid w:val="00593B86"/>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593B86"/>
    <w:pPr>
      <w:spacing w:after="120" w:line="480" w:lineRule="auto"/>
    </w:pPr>
  </w:style>
  <w:style w:type="character" w:customStyle="1" w:styleId="BodyText2Char">
    <w:name w:val="Body Text 2 Char"/>
    <w:basedOn w:val="DefaultParagraphFont"/>
    <w:link w:val="BodyText2"/>
    <w:uiPriority w:val="99"/>
    <w:semiHidden/>
    <w:rsid w:val="00593B86"/>
  </w:style>
  <w:style w:type="character" w:styleId="CommentReference">
    <w:name w:val="annotation reference"/>
    <w:basedOn w:val="DefaultParagraphFont"/>
    <w:uiPriority w:val="99"/>
    <w:semiHidden/>
    <w:unhideWhenUsed/>
    <w:rsid w:val="0056562E"/>
    <w:rPr>
      <w:sz w:val="16"/>
      <w:szCs w:val="16"/>
    </w:rPr>
  </w:style>
  <w:style w:type="paragraph" w:styleId="CommentText">
    <w:name w:val="annotation text"/>
    <w:basedOn w:val="Normal"/>
    <w:link w:val="CommentTextChar"/>
    <w:uiPriority w:val="99"/>
    <w:semiHidden/>
    <w:unhideWhenUsed/>
    <w:rsid w:val="0056562E"/>
    <w:pPr>
      <w:spacing w:line="240" w:lineRule="auto"/>
    </w:pPr>
    <w:rPr>
      <w:szCs w:val="20"/>
    </w:rPr>
  </w:style>
  <w:style w:type="character" w:customStyle="1" w:styleId="CommentTextChar">
    <w:name w:val="Comment Text Char"/>
    <w:basedOn w:val="DefaultParagraphFont"/>
    <w:link w:val="CommentText"/>
    <w:uiPriority w:val="99"/>
    <w:semiHidden/>
    <w:rsid w:val="0056562E"/>
    <w:rPr>
      <w:sz w:val="20"/>
      <w:szCs w:val="20"/>
    </w:rPr>
  </w:style>
  <w:style w:type="paragraph" w:styleId="CommentSubject">
    <w:name w:val="annotation subject"/>
    <w:basedOn w:val="CommentText"/>
    <w:next w:val="CommentText"/>
    <w:link w:val="CommentSubjectChar"/>
    <w:uiPriority w:val="99"/>
    <w:semiHidden/>
    <w:unhideWhenUsed/>
    <w:rsid w:val="0056562E"/>
    <w:rPr>
      <w:b/>
      <w:bCs/>
    </w:rPr>
  </w:style>
  <w:style w:type="character" w:customStyle="1" w:styleId="CommentSubjectChar">
    <w:name w:val="Comment Subject Char"/>
    <w:basedOn w:val="CommentTextChar"/>
    <w:link w:val="CommentSubject"/>
    <w:uiPriority w:val="99"/>
    <w:semiHidden/>
    <w:rsid w:val="0056562E"/>
    <w:rPr>
      <w:b/>
      <w:bCs/>
      <w:sz w:val="20"/>
      <w:szCs w:val="20"/>
    </w:rPr>
  </w:style>
  <w:style w:type="character" w:customStyle="1" w:styleId="Heading5Char">
    <w:name w:val="Heading 5 Char"/>
    <w:basedOn w:val="DefaultParagraphFont"/>
    <w:link w:val="Heading5"/>
    <w:uiPriority w:val="9"/>
    <w:rsid w:val="00D17A39"/>
    <w:rPr>
      <w:rFonts w:asciiTheme="majorHAnsi" w:eastAsiaTheme="majorEastAsia" w:hAnsiTheme="majorHAnsi" w:cstheme="majorBidi"/>
      <w:color w:val="C9C9C9" w:themeColor="accent3" w:themeTint="99"/>
      <w:sz w:val="24"/>
    </w:rPr>
  </w:style>
  <w:style w:type="character" w:customStyle="1" w:styleId="Heading6Char">
    <w:name w:val="Heading 6 Char"/>
    <w:basedOn w:val="DefaultParagraphFont"/>
    <w:link w:val="Heading6"/>
    <w:uiPriority w:val="9"/>
    <w:semiHidden/>
    <w:rsid w:val="00D17A3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17A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7A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7A39"/>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footnote text,fn,FOOTNOTES,Footnote Text Char2,Footnote Text Char1 Char,Footnote Text Char Char Char1,Footnote Text Char1 Char Char Char1,Footnote Text Char1 Char1 Char,Footnote Text Char Char Char Char,ADB,ADB Char,ft,脚注文本,f"/>
    <w:basedOn w:val="Normal"/>
    <w:link w:val="FootnoteTextChar"/>
    <w:uiPriority w:val="99"/>
    <w:qFormat/>
    <w:rsid w:val="00D17A39"/>
    <w:pPr>
      <w:spacing w:after="200" w:line="276" w:lineRule="auto"/>
    </w:pPr>
    <w:rPr>
      <w:rFonts w:ascii="Calibri" w:eastAsia="Times New Roman" w:hAnsi="Calibri" w:cs="Times New Roman"/>
      <w:szCs w:val="20"/>
      <w:lang w:bidi="en-US"/>
    </w:rPr>
  </w:style>
  <w:style w:type="character" w:customStyle="1" w:styleId="FootnoteTextChar">
    <w:name w:val="Footnote Text Char"/>
    <w:aliases w:val="single space Char,footnote text Char,fn Char,FOOTNOTES Char,Footnote Text Char2 Char,Footnote Text Char1 Char Char,Footnote Text Char Char Char1 Char,Footnote Text Char1 Char Char Char1 Char,Footnote Text Char1 Char1 Char Char,ft Char"/>
    <w:basedOn w:val="DefaultParagraphFont"/>
    <w:link w:val="FootnoteText"/>
    <w:uiPriority w:val="99"/>
    <w:rsid w:val="00D17A39"/>
    <w:rPr>
      <w:rFonts w:ascii="Calibri" w:eastAsia="Times New Roman" w:hAnsi="Calibri" w:cs="Times New Roman"/>
      <w:sz w:val="20"/>
      <w:szCs w:val="20"/>
      <w:lang w:bidi="en-US"/>
    </w:rPr>
  </w:style>
  <w:style w:type="character" w:styleId="FootnoteReference">
    <w:name w:val="footnote reference"/>
    <w:aliases w:val="ftref,16 Point,Superscript 6 Point,脚注引用,(NECG) Footnote Reference,Ref,de nota al pie,fr,Footnote Ref in FtNote,SUPERS,BVI fnr,Footnote,Style 6,Used by Word for Help footnote symbols, BVI fnr,Footnote Reference1,heading1,Знак сноски-FN"/>
    <w:basedOn w:val="DefaultParagraphFont"/>
    <w:uiPriority w:val="99"/>
    <w:qFormat/>
    <w:rsid w:val="00D17A39"/>
    <w:rPr>
      <w:vertAlign w:val="superscript"/>
    </w:rPr>
  </w:style>
  <w:style w:type="paragraph" w:customStyle="1" w:styleId="AppendixCover">
    <w:name w:val="Appendix Cover"/>
    <w:basedOn w:val="Normal"/>
    <w:link w:val="AppendixCoverChar"/>
    <w:qFormat/>
    <w:rsid w:val="00EF5B3F"/>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Arial"/>
      <w:b/>
      <w:color w:val="FF3399"/>
      <w:sz w:val="28"/>
      <w:szCs w:val="28"/>
    </w:rPr>
  </w:style>
  <w:style w:type="paragraph" w:customStyle="1" w:styleId="AppendixTitle">
    <w:name w:val="Appendix Title"/>
    <w:basedOn w:val="Normal"/>
    <w:link w:val="AppendixTitleChar"/>
    <w:qFormat/>
    <w:rsid w:val="00EF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Arial"/>
      <w:color w:val="FF0066"/>
      <w:sz w:val="28"/>
      <w:szCs w:val="28"/>
    </w:rPr>
  </w:style>
  <w:style w:type="character" w:customStyle="1" w:styleId="AppendixCoverChar">
    <w:name w:val="Appendix Cover Char"/>
    <w:basedOn w:val="DefaultParagraphFont"/>
    <w:link w:val="AppendixCover"/>
    <w:rsid w:val="00EF5B3F"/>
    <w:rPr>
      <w:rFonts w:ascii="Arial" w:eastAsia="Times New Roman" w:hAnsi="Arial" w:cs="Arial"/>
      <w:b/>
      <w:color w:val="FF3399"/>
      <w:sz w:val="28"/>
      <w:szCs w:val="28"/>
    </w:rPr>
  </w:style>
  <w:style w:type="paragraph" w:styleId="TOC1">
    <w:name w:val="toc 1"/>
    <w:basedOn w:val="Normal"/>
    <w:next w:val="Normal"/>
    <w:autoRedefine/>
    <w:uiPriority w:val="39"/>
    <w:unhideWhenUsed/>
    <w:rsid w:val="00976FBF"/>
    <w:pPr>
      <w:spacing w:after="100"/>
    </w:pPr>
  </w:style>
  <w:style w:type="character" w:customStyle="1" w:styleId="AppendixTitleChar">
    <w:name w:val="Appendix Title Char"/>
    <w:basedOn w:val="DefaultParagraphFont"/>
    <w:link w:val="AppendixTitle"/>
    <w:rsid w:val="00EF5B3F"/>
    <w:rPr>
      <w:rFonts w:ascii="Arial" w:eastAsia="Times New Roman" w:hAnsi="Arial" w:cs="Arial"/>
      <w:color w:val="FF0066"/>
      <w:sz w:val="28"/>
      <w:szCs w:val="28"/>
    </w:rPr>
  </w:style>
  <w:style w:type="paragraph" w:styleId="TOC2">
    <w:name w:val="toc 2"/>
    <w:basedOn w:val="Normal"/>
    <w:next w:val="Normal"/>
    <w:autoRedefine/>
    <w:uiPriority w:val="39"/>
    <w:unhideWhenUsed/>
    <w:rsid w:val="00976FBF"/>
    <w:pPr>
      <w:spacing w:after="100"/>
      <w:ind w:left="200"/>
    </w:pPr>
  </w:style>
  <w:style w:type="character" w:styleId="Hyperlink">
    <w:name w:val="Hyperlink"/>
    <w:basedOn w:val="DefaultParagraphFont"/>
    <w:uiPriority w:val="99"/>
    <w:unhideWhenUsed/>
    <w:rsid w:val="00976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CE32-3B53-416F-B8AE-C59AED95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12712</Words>
  <Characters>72459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Iautu</dc:creator>
  <cp:lastModifiedBy>Pene</cp:lastModifiedBy>
  <cp:revision>4</cp:revision>
  <dcterms:created xsi:type="dcterms:W3CDTF">2017-06-05T21:57:00Z</dcterms:created>
  <dcterms:modified xsi:type="dcterms:W3CDTF">2017-06-05T22:08:00Z</dcterms:modified>
</cp:coreProperties>
</file>