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087" w:rsidRPr="00031CE0" w:rsidRDefault="00395087" w:rsidP="00395087">
      <w:pPr>
        <w:pStyle w:val="NoSpacing"/>
        <w:rPr>
          <w:rFonts w:ascii="Tahoma" w:hAnsi="Tahoma" w:cs="Tahoma"/>
          <w:b/>
          <w:color w:val="4F6228"/>
          <w:sz w:val="22"/>
          <w:szCs w:val="28"/>
        </w:rPr>
      </w:pPr>
      <w:bookmarkStart w:id="0" w:name="_top"/>
      <w:bookmarkEnd w:id="0"/>
      <w:r w:rsidRPr="00031CE0">
        <w:rPr>
          <w:rFonts w:ascii="Tahoma" w:hAnsi="Tahoma" w:cs="Tahoma"/>
          <w:b/>
          <w:color w:val="4F6228"/>
          <w:sz w:val="28"/>
          <w:szCs w:val="28"/>
        </w:rPr>
        <w:t>Climate change in the news</w:t>
      </w:r>
      <w:r w:rsidRPr="00031CE0">
        <w:rPr>
          <w:rFonts w:ascii="Tahoma" w:hAnsi="Tahoma" w:cs="Tahoma"/>
          <w:b/>
          <w:color w:val="4F6228"/>
          <w:sz w:val="28"/>
          <w:szCs w:val="28"/>
        </w:rPr>
        <w:tab/>
      </w:r>
      <w:r w:rsidRPr="00031CE0">
        <w:rPr>
          <w:rFonts w:ascii="Tahoma" w:hAnsi="Tahoma" w:cs="Tahoma"/>
          <w:b/>
          <w:color w:val="4F6228"/>
          <w:sz w:val="24"/>
          <w:szCs w:val="28"/>
        </w:rPr>
        <w:t xml:space="preserve">Issue 34 – </w:t>
      </w:r>
      <w:r w:rsidR="009E453A">
        <w:rPr>
          <w:rFonts w:ascii="Tahoma" w:hAnsi="Tahoma" w:cs="Tahoma"/>
          <w:b/>
          <w:color w:val="4F6228"/>
          <w:sz w:val="24"/>
          <w:szCs w:val="28"/>
        </w:rPr>
        <w:t>January</w:t>
      </w:r>
      <w:r w:rsidRPr="00031CE0">
        <w:rPr>
          <w:rFonts w:ascii="Tahoma" w:hAnsi="Tahoma" w:cs="Tahoma"/>
          <w:b/>
          <w:color w:val="4F6228"/>
          <w:sz w:val="24"/>
          <w:szCs w:val="28"/>
        </w:rPr>
        <w:t>, 201</w:t>
      </w:r>
      <w:r w:rsidR="009E453A">
        <w:rPr>
          <w:rFonts w:ascii="Tahoma" w:hAnsi="Tahoma" w:cs="Tahoma"/>
          <w:b/>
          <w:color w:val="4F6228"/>
          <w:sz w:val="24"/>
          <w:szCs w:val="28"/>
        </w:rPr>
        <w:t>3</w:t>
      </w:r>
    </w:p>
    <w:p w:rsidR="00395087" w:rsidRPr="00031CE0" w:rsidRDefault="00395087" w:rsidP="00395087">
      <w:pPr>
        <w:pStyle w:val="NoSpacing"/>
        <w:rPr>
          <w:rFonts w:ascii="Tahoma" w:hAnsi="Tahoma" w:cs="Tahoma"/>
          <w:b/>
          <w:color w:val="4F6228"/>
          <w:szCs w:val="22"/>
        </w:rPr>
      </w:pPr>
    </w:p>
    <w:p w:rsidR="003203DB" w:rsidRDefault="003203DB" w:rsidP="00395087">
      <w:pPr>
        <w:pStyle w:val="NoSpacing"/>
        <w:rPr>
          <w:rFonts w:ascii="Tahoma" w:hAnsi="Tahoma" w:cs="Tahoma"/>
          <w:b/>
          <w:color w:val="4F6228"/>
          <w:sz w:val="22"/>
          <w:szCs w:val="22"/>
        </w:rPr>
      </w:pPr>
    </w:p>
    <w:p w:rsidR="00395087" w:rsidRPr="00031CE0" w:rsidRDefault="00395087" w:rsidP="00395087">
      <w:pPr>
        <w:pStyle w:val="NoSpacing"/>
        <w:rPr>
          <w:rFonts w:ascii="Tahoma" w:hAnsi="Tahoma" w:cs="Tahoma"/>
          <w:b/>
          <w:color w:val="4F6228"/>
          <w:sz w:val="22"/>
          <w:szCs w:val="22"/>
        </w:rPr>
      </w:pPr>
      <w:r w:rsidRPr="00031CE0">
        <w:rPr>
          <w:rFonts w:ascii="Tahoma" w:hAnsi="Tahoma" w:cs="Tahoma"/>
          <w:b/>
          <w:color w:val="4F6228"/>
          <w:sz w:val="22"/>
          <w:szCs w:val="22"/>
        </w:rPr>
        <w:t xml:space="preserve">Recent Agriculture &amp; Forestry Articles/ Publications </w:t>
      </w:r>
    </w:p>
    <w:p w:rsidR="00F56D8E" w:rsidRPr="00F56D8E" w:rsidRDefault="008645BB" w:rsidP="00F56D8E">
      <w:pPr>
        <w:pStyle w:val="Heading1"/>
        <w:numPr>
          <w:ilvl w:val="0"/>
          <w:numId w:val="10"/>
        </w:numPr>
        <w:rPr>
          <w:rFonts w:ascii="Tahoma" w:hAnsi="Tahoma" w:cs="Tahoma"/>
          <w:sz w:val="20"/>
          <w:szCs w:val="20"/>
        </w:rPr>
      </w:pPr>
      <w:hyperlink w:anchor="FAOReleasesCCMitigationinAgriLearningMat" w:history="1">
        <w:r w:rsidR="00F56D8E" w:rsidRPr="00D31937">
          <w:rPr>
            <w:rStyle w:val="Hyperlink"/>
            <w:rFonts w:ascii="Tahoma" w:hAnsi="Tahoma" w:cs="Tahoma"/>
            <w:sz w:val="20"/>
            <w:szCs w:val="20"/>
          </w:rPr>
          <w:t>FAO Releases Climate Change Mitigation in Agriculture Learning Materials</w:t>
        </w:r>
      </w:hyperlink>
    </w:p>
    <w:p w:rsidR="00F56D8E" w:rsidRPr="001319B1" w:rsidRDefault="008645BB" w:rsidP="00F56D8E">
      <w:pPr>
        <w:pStyle w:val="Heading1"/>
        <w:numPr>
          <w:ilvl w:val="0"/>
          <w:numId w:val="10"/>
        </w:numPr>
        <w:rPr>
          <w:rFonts w:ascii="Tahoma" w:hAnsi="Tahoma" w:cs="Tahoma"/>
          <w:sz w:val="20"/>
          <w:szCs w:val="20"/>
        </w:rPr>
      </w:pPr>
      <w:hyperlink w:anchor="GCARDConferenceFocusesonEngagingSFarmers" w:history="1">
        <w:r w:rsidR="00F56D8E" w:rsidRPr="00D31937">
          <w:rPr>
            <w:rStyle w:val="Hyperlink"/>
            <w:rFonts w:ascii="Tahoma" w:hAnsi="Tahoma" w:cs="Tahoma"/>
            <w:sz w:val="20"/>
            <w:szCs w:val="20"/>
          </w:rPr>
          <w:t>GCARD Conference Focuses on Engaging Smallholder Farmers</w:t>
        </w:r>
      </w:hyperlink>
    </w:p>
    <w:p w:rsidR="00C81EA0" w:rsidRPr="00C81EA0" w:rsidRDefault="008645BB" w:rsidP="00C81EA0">
      <w:pPr>
        <w:pStyle w:val="ListParagraph"/>
        <w:numPr>
          <w:ilvl w:val="0"/>
          <w:numId w:val="10"/>
        </w:numPr>
        <w:rPr>
          <w:rFonts w:ascii="Tahoma" w:hAnsi="Tahoma" w:cs="Tahoma"/>
          <w:b/>
          <w:color w:val="000000"/>
          <w:sz w:val="20"/>
          <w:szCs w:val="20"/>
        </w:rPr>
      </w:pPr>
      <w:hyperlink w:anchor="NewCCAFSPolicyBriefreleased" w:history="1">
        <w:r w:rsidR="00C81EA0" w:rsidRPr="00D31937">
          <w:rPr>
            <w:rStyle w:val="Hyperlink"/>
            <w:rFonts w:ascii="Tahoma" w:hAnsi="Tahoma" w:cs="Tahoma"/>
            <w:b/>
            <w:sz w:val="20"/>
            <w:szCs w:val="20"/>
          </w:rPr>
          <w:t>New CCAFS Policy Brief released</w:t>
        </w:r>
      </w:hyperlink>
    </w:p>
    <w:p w:rsidR="0089666C" w:rsidRDefault="008645BB" w:rsidP="0089666C">
      <w:pPr>
        <w:pStyle w:val="Heading1"/>
        <w:numPr>
          <w:ilvl w:val="0"/>
          <w:numId w:val="10"/>
        </w:numPr>
        <w:rPr>
          <w:rFonts w:ascii="Tahoma" w:hAnsi="Tahoma" w:cs="Tahoma"/>
          <w:sz w:val="20"/>
          <w:szCs w:val="20"/>
        </w:rPr>
      </w:pPr>
      <w:hyperlink w:anchor="CCAFSExaminesCImpactsonAgriandNaturalRCo" w:history="1">
        <w:r w:rsidR="0089666C" w:rsidRPr="00D31937">
          <w:rPr>
            <w:rStyle w:val="Hyperlink"/>
            <w:rFonts w:ascii="Tahoma" w:hAnsi="Tahoma" w:cs="Tahoma"/>
            <w:sz w:val="20"/>
            <w:szCs w:val="20"/>
          </w:rPr>
          <w:t>CCAFS Examines Climate Impacts on Agricultural and Natural Resource Commodities</w:t>
        </w:r>
      </w:hyperlink>
    </w:p>
    <w:p w:rsidR="00395087" w:rsidRDefault="00395087" w:rsidP="00395087">
      <w:pPr>
        <w:pStyle w:val="NoSpacing"/>
        <w:rPr>
          <w:rFonts w:ascii="Tahoma" w:hAnsi="Tahoma" w:cs="Tahoma"/>
          <w:b/>
          <w:color w:val="4F6228"/>
          <w:sz w:val="22"/>
          <w:szCs w:val="22"/>
        </w:rPr>
      </w:pPr>
      <w:bookmarkStart w:id="1" w:name="_CCAFS_Report_Focuses"/>
      <w:bookmarkEnd w:id="1"/>
      <w:r w:rsidRPr="00031CE0">
        <w:rPr>
          <w:rFonts w:ascii="Tahoma" w:hAnsi="Tahoma" w:cs="Tahoma"/>
          <w:b/>
          <w:color w:val="4F6228"/>
          <w:sz w:val="22"/>
          <w:szCs w:val="22"/>
        </w:rPr>
        <w:t>REDD+</w:t>
      </w:r>
    </w:p>
    <w:p w:rsidR="003203DB" w:rsidRPr="00031CE0" w:rsidRDefault="003203DB" w:rsidP="00395087">
      <w:pPr>
        <w:pStyle w:val="NoSpacing"/>
        <w:rPr>
          <w:rFonts w:ascii="Tahoma" w:hAnsi="Tahoma" w:cs="Tahoma"/>
          <w:b/>
          <w:color w:val="4F6228"/>
          <w:sz w:val="22"/>
          <w:szCs w:val="22"/>
        </w:rPr>
      </w:pPr>
    </w:p>
    <w:p w:rsidR="00031CE0" w:rsidRPr="00860906" w:rsidRDefault="008645BB" w:rsidP="00031CE0">
      <w:pPr>
        <w:pStyle w:val="NormalWeb"/>
        <w:numPr>
          <w:ilvl w:val="0"/>
          <w:numId w:val="5"/>
        </w:numPr>
        <w:spacing w:before="0" w:beforeAutospacing="0" w:after="0" w:afterAutospacing="0"/>
        <w:rPr>
          <w:rFonts w:ascii="Tahoma" w:hAnsi="Tahoma" w:cs="Tahoma"/>
          <w:b/>
          <w:bCs/>
          <w:sz w:val="20"/>
          <w:szCs w:val="20"/>
        </w:rPr>
      </w:pPr>
      <w:hyperlink w:anchor="REDDPoliticsintheMediaACaseStudyfromPNG" w:history="1">
        <w:r w:rsidR="00031CE0" w:rsidRPr="00860906">
          <w:rPr>
            <w:rStyle w:val="Hyperlink"/>
            <w:rFonts w:ascii="Tahoma" w:hAnsi="Tahoma" w:cs="Tahoma"/>
            <w:b/>
            <w:sz w:val="20"/>
            <w:szCs w:val="20"/>
          </w:rPr>
          <w:t>REDD+ Politics in the Media: A Case Study from Papua New Guinea</w:t>
        </w:r>
      </w:hyperlink>
    </w:p>
    <w:p w:rsidR="00395087" w:rsidRDefault="008645BB" w:rsidP="00D44B40">
      <w:pPr>
        <w:pStyle w:val="NoSpacing"/>
        <w:numPr>
          <w:ilvl w:val="0"/>
          <w:numId w:val="5"/>
        </w:numPr>
        <w:rPr>
          <w:rFonts w:ascii="Tahoma" w:hAnsi="Tahoma" w:cs="Tahoma"/>
          <w:b/>
        </w:rPr>
      </w:pPr>
      <w:hyperlink w:anchor="DefiningREDDSuccess" w:history="1">
        <w:r w:rsidR="00D44B40" w:rsidRPr="00D31937">
          <w:rPr>
            <w:rStyle w:val="Hyperlink"/>
            <w:rFonts w:ascii="Tahoma" w:hAnsi="Tahoma" w:cs="Tahoma"/>
            <w:b/>
          </w:rPr>
          <w:t>Defining REDD+ Success</w:t>
        </w:r>
      </w:hyperlink>
      <w:r w:rsidR="00D44B40" w:rsidRPr="00D44B40">
        <w:rPr>
          <w:rFonts w:ascii="Tahoma" w:hAnsi="Tahoma" w:cs="Tahoma"/>
          <w:b/>
        </w:rPr>
        <w:t xml:space="preserve"> </w:t>
      </w:r>
    </w:p>
    <w:p w:rsidR="008651F7" w:rsidRPr="00D31937" w:rsidRDefault="008645BB" w:rsidP="008651F7">
      <w:pPr>
        <w:pStyle w:val="NormalWeb"/>
        <w:numPr>
          <w:ilvl w:val="0"/>
          <w:numId w:val="5"/>
        </w:numPr>
        <w:spacing w:before="0" w:beforeAutospacing="0" w:after="0" w:afterAutospacing="0"/>
        <w:rPr>
          <w:rStyle w:val="Strong"/>
          <w:rFonts w:ascii="Tahoma" w:hAnsi="Tahoma" w:cs="Tahoma"/>
          <w:b w:val="0"/>
          <w:sz w:val="20"/>
          <w:szCs w:val="20"/>
        </w:rPr>
      </w:pPr>
      <w:hyperlink w:anchor="REDDNetAsiaPacificBulletin6AdaptationFor" w:history="1">
        <w:r w:rsidR="008651F7" w:rsidRPr="00D31937">
          <w:rPr>
            <w:rStyle w:val="Hyperlink"/>
            <w:rFonts w:ascii="Tahoma" w:hAnsi="Tahoma" w:cs="Tahoma"/>
            <w:b/>
            <w:sz w:val="20"/>
            <w:szCs w:val="20"/>
          </w:rPr>
          <w:t>REDD-Net Asia-Pacific Bulletin #6: Adaptation, Forests and REDD+</w:t>
        </w:r>
      </w:hyperlink>
    </w:p>
    <w:p w:rsidR="00BD10E0" w:rsidRPr="00BD10E0" w:rsidRDefault="008645BB" w:rsidP="00BD10E0">
      <w:pPr>
        <w:pStyle w:val="NormalWeb"/>
        <w:numPr>
          <w:ilvl w:val="0"/>
          <w:numId w:val="5"/>
        </w:numPr>
        <w:spacing w:before="135" w:after="45" w:line="336" w:lineRule="auto"/>
        <w:rPr>
          <w:rFonts w:ascii="Tahoma" w:hAnsi="Tahoma" w:cs="Tahoma"/>
          <w:b/>
          <w:sz w:val="20"/>
          <w:szCs w:val="20"/>
        </w:rPr>
      </w:pPr>
      <w:hyperlink w:anchor="REDDandtheFutureofCSafeAgri" w:history="1">
        <w:r w:rsidR="00BD10E0" w:rsidRPr="00D31937">
          <w:rPr>
            <w:rStyle w:val="Hyperlink"/>
            <w:rFonts w:ascii="Tahoma" w:hAnsi="Tahoma" w:cs="Tahoma"/>
            <w:b/>
            <w:sz w:val="20"/>
            <w:szCs w:val="20"/>
          </w:rPr>
          <w:t>REDD+ And The Future Of Climate-Safe Agriculture</w:t>
        </w:r>
      </w:hyperlink>
    </w:p>
    <w:p w:rsidR="00395087" w:rsidRPr="00031CE0" w:rsidRDefault="00395087" w:rsidP="00395087">
      <w:pPr>
        <w:pStyle w:val="NoSpacing"/>
        <w:rPr>
          <w:rFonts w:ascii="Tahoma" w:hAnsi="Tahoma" w:cs="Tahoma"/>
          <w:b/>
          <w:color w:val="4F6228"/>
          <w:sz w:val="22"/>
          <w:szCs w:val="22"/>
        </w:rPr>
      </w:pPr>
      <w:r w:rsidRPr="00031CE0">
        <w:rPr>
          <w:rFonts w:ascii="Tahoma" w:hAnsi="Tahoma" w:cs="Tahoma"/>
          <w:b/>
          <w:color w:val="4F6228"/>
          <w:sz w:val="22"/>
          <w:szCs w:val="22"/>
        </w:rPr>
        <w:t>General</w:t>
      </w:r>
    </w:p>
    <w:p w:rsidR="00F53172" w:rsidRPr="00F53172" w:rsidRDefault="008645BB" w:rsidP="00F53172">
      <w:pPr>
        <w:pStyle w:val="Heading1"/>
        <w:numPr>
          <w:ilvl w:val="0"/>
          <w:numId w:val="6"/>
        </w:numPr>
        <w:rPr>
          <w:rFonts w:ascii="Tahoma" w:hAnsi="Tahoma" w:cs="Tahoma"/>
          <w:sz w:val="20"/>
          <w:szCs w:val="20"/>
        </w:rPr>
      </w:pPr>
      <w:hyperlink w:anchor="DryLandsConferenceFocusesonLinksAmongCCF" w:history="1">
        <w:r w:rsidR="00F53172" w:rsidRPr="005A46BC">
          <w:rPr>
            <w:rStyle w:val="Hyperlink"/>
            <w:rFonts w:ascii="Tahoma" w:hAnsi="Tahoma" w:cs="Tahoma"/>
            <w:sz w:val="20"/>
            <w:szCs w:val="20"/>
          </w:rPr>
          <w:t xml:space="preserve">Dry Lands Conference Focuses on Links </w:t>
        </w:r>
        <w:proofErr w:type="gramStart"/>
        <w:r w:rsidR="00F53172" w:rsidRPr="005A46BC">
          <w:rPr>
            <w:rStyle w:val="Hyperlink"/>
            <w:rFonts w:ascii="Tahoma" w:hAnsi="Tahoma" w:cs="Tahoma"/>
            <w:sz w:val="20"/>
            <w:szCs w:val="20"/>
          </w:rPr>
          <w:t>Among</w:t>
        </w:r>
        <w:proofErr w:type="gramEnd"/>
        <w:r w:rsidR="00F53172" w:rsidRPr="005A46BC">
          <w:rPr>
            <w:rStyle w:val="Hyperlink"/>
            <w:rFonts w:ascii="Tahoma" w:hAnsi="Tahoma" w:cs="Tahoma"/>
            <w:sz w:val="20"/>
            <w:szCs w:val="20"/>
          </w:rPr>
          <w:t xml:space="preserve"> Climate Change, Food Security and Water Management</w:t>
        </w:r>
      </w:hyperlink>
    </w:p>
    <w:p w:rsidR="0069571F" w:rsidRPr="0069571F" w:rsidRDefault="008645BB" w:rsidP="0069571F">
      <w:pPr>
        <w:pStyle w:val="Heading1"/>
        <w:numPr>
          <w:ilvl w:val="0"/>
          <w:numId w:val="6"/>
        </w:numPr>
        <w:rPr>
          <w:rFonts w:ascii="Tahoma" w:hAnsi="Tahoma" w:cs="Tahoma"/>
          <w:sz w:val="20"/>
          <w:szCs w:val="20"/>
        </w:rPr>
      </w:pPr>
      <w:hyperlink w:anchor="SPREPHostsFirstCCPortalTraining" w:history="1">
        <w:r w:rsidR="0069571F" w:rsidRPr="005A46BC">
          <w:rPr>
            <w:rStyle w:val="Hyperlink"/>
            <w:rFonts w:ascii="Tahoma" w:hAnsi="Tahoma" w:cs="Tahoma"/>
            <w:sz w:val="20"/>
            <w:szCs w:val="20"/>
          </w:rPr>
          <w:t>SPREP Hosts First Pacific Climate Change Portal Training</w:t>
        </w:r>
      </w:hyperlink>
    </w:p>
    <w:p w:rsidR="00D5584A" w:rsidRPr="000124E4" w:rsidRDefault="008645BB" w:rsidP="00D5584A">
      <w:pPr>
        <w:pStyle w:val="ListParagraph"/>
        <w:numPr>
          <w:ilvl w:val="0"/>
          <w:numId w:val="6"/>
        </w:numPr>
        <w:rPr>
          <w:rFonts w:ascii="Tahoma" w:hAnsi="Tahoma" w:cs="Tahoma"/>
          <w:b/>
          <w:color w:val="auto"/>
          <w:sz w:val="20"/>
          <w:szCs w:val="20"/>
        </w:rPr>
      </w:pPr>
      <w:hyperlink w:anchor="NewStudyAssessmentofWBGrpExpinCAdaptatio" w:history="1">
        <w:r w:rsidR="00D5584A" w:rsidRPr="005A46BC">
          <w:rPr>
            <w:rStyle w:val="Hyperlink"/>
            <w:rFonts w:ascii="Tahoma" w:hAnsi="Tahoma" w:cs="Tahoma"/>
            <w:b/>
            <w:sz w:val="20"/>
            <w:szCs w:val="20"/>
          </w:rPr>
          <w:t>New Study: Assessment of World Bank Group's Experience in Climate Adaptation</w:t>
        </w:r>
      </w:hyperlink>
    </w:p>
    <w:p w:rsidR="000124E4" w:rsidRPr="000124E4" w:rsidRDefault="008645BB" w:rsidP="000124E4">
      <w:pPr>
        <w:pStyle w:val="ListParagraph"/>
        <w:numPr>
          <w:ilvl w:val="0"/>
          <w:numId w:val="6"/>
        </w:numPr>
        <w:spacing w:before="100" w:beforeAutospacing="1"/>
        <w:rPr>
          <w:rFonts w:ascii="Tahoma" w:hAnsi="Tahoma" w:cs="Tahoma"/>
          <w:b/>
          <w:color w:val="000000"/>
          <w:sz w:val="20"/>
          <w:szCs w:val="20"/>
        </w:rPr>
      </w:pPr>
      <w:hyperlink w:anchor="NewReportonPICCincludesMajorConcernsforH" w:history="1">
        <w:r w:rsidR="000124E4" w:rsidRPr="005A46BC">
          <w:rPr>
            <w:rStyle w:val="Hyperlink"/>
            <w:rFonts w:ascii="Tahoma" w:hAnsi="Tahoma" w:cs="Tahoma"/>
            <w:b/>
            <w:bCs/>
            <w:sz w:val="20"/>
            <w:szCs w:val="20"/>
          </w:rPr>
          <w:t>New Report on Pacific Islands Climate Change Includes Major Concerns for Hawai‘i</w:t>
        </w:r>
      </w:hyperlink>
    </w:p>
    <w:p w:rsidR="00F45500" w:rsidRPr="00F45500" w:rsidRDefault="008645BB" w:rsidP="00F45500">
      <w:pPr>
        <w:pStyle w:val="ListParagraph"/>
        <w:numPr>
          <w:ilvl w:val="0"/>
          <w:numId w:val="6"/>
        </w:numPr>
        <w:spacing w:line="336" w:lineRule="atLeast"/>
        <w:rPr>
          <w:rFonts w:ascii="Tahoma" w:hAnsi="Tahoma" w:cs="Tahoma"/>
          <w:b/>
          <w:color w:val="auto"/>
          <w:sz w:val="20"/>
          <w:szCs w:val="20"/>
        </w:rPr>
      </w:pPr>
      <w:hyperlink w:anchor="Globalfoodcrisiswillworsenasheatwavesdma" w:history="1">
        <w:r w:rsidR="00F45500" w:rsidRPr="005A46BC">
          <w:rPr>
            <w:rStyle w:val="Hyperlink"/>
            <w:rFonts w:ascii="Tahoma" w:hAnsi="Tahoma" w:cs="Tahoma"/>
            <w:b/>
            <w:sz w:val="20"/>
            <w:szCs w:val="20"/>
          </w:rPr>
          <w:t xml:space="preserve">Global food crisis will worsen as </w:t>
        </w:r>
        <w:r w:rsidR="00860906" w:rsidRPr="005A46BC">
          <w:rPr>
            <w:rStyle w:val="Hyperlink"/>
            <w:rFonts w:ascii="Tahoma" w:hAnsi="Tahoma" w:cs="Tahoma"/>
            <w:b/>
            <w:sz w:val="20"/>
            <w:szCs w:val="20"/>
          </w:rPr>
          <w:t>heat waves</w:t>
        </w:r>
        <w:r w:rsidR="00F45500" w:rsidRPr="005A46BC">
          <w:rPr>
            <w:rStyle w:val="Hyperlink"/>
            <w:rFonts w:ascii="Tahoma" w:hAnsi="Tahoma" w:cs="Tahoma"/>
            <w:b/>
            <w:sz w:val="20"/>
            <w:szCs w:val="20"/>
          </w:rPr>
          <w:t xml:space="preserve"> damage crops</w:t>
        </w:r>
      </w:hyperlink>
      <w:r w:rsidR="00F45500" w:rsidRPr="00F45500">
        <w:rPr>
          <w:rFonts w:ascii="Tahoma" w:hAnsi="Tahoma" w:cs="Tahoma"/>
          <w:b/>
          <w:color w:val="auto"/>
          <w:sz w:val="20"/>
          <w:szCs w:val="20"/>
        </w:rPr>
        <w:t xml:space="preserve"> </w:t>
      </w:r>
    </w:p>
    <w:p w:rsidR="006972CB" w:rsidRPr="006972CB" w:rsidRDefault="008645BB" w:rsidP="006972CB">
      <w:pPr>
        <w:pStyle w:val="ListParagraph"/>
        <w:numPr>
          <w:ilvl w:val="0"/>
          <w:numId w:val="6"/>
        </w:numPr>
        <w:spacing w:line="336" w:lineRule="atLeast"/>
        <w:rPr>
          <w:rFonts w:ascii="Tahoma" w:hAnsi="Tahoma" w:cs="Tahoma"/>
          <w:b/>
          <w:color w:val="auto"/>
          <w:sz w:val="20"/>
          <w:szCs w:val="20"/>
        </w:rPr>
      </w:pPr>
      <w:hyperlink w:anchor="WorldwatchReport188InnovationsSustainabl" w:history="1">
        <w:r w:rsidR="006972CB" w:rsidRPr="005A46BC">
          <w:rPr>
            <w:rStyle w:val="Hyperlink"/>
            <w:rFonts w:ascii="Tahoma" w:hAnsi="Tahoma" w:cs="Tahoma"/>
            <w:b/>
            <w:sz w:val="20"/>
            <w:szCs w:val="20"/>
          </w:rPr>
          <w:t>Worldwatch Report #188: Innovations in Sustainable Agriculture: Supporting Climate-Friendly Food Production | Worldwatch Institute</w:t>
        </w:r>
      </w:hyperlink>
      <w:r w:rsidR="006972CB" w:rsidRPr="006972CB">
        <w:rPr>
          <w:rFonts w:ascii="Tahoma" w:hAnsi="Tahoma" w:cs="Tahoma"/>
          <w:b/>
          <w:color w:val="auto"/>
          <w:sz w:val="20"/>
          <w:szCs w:val="20"/>
        </w:rPr>
        <w:t xml:space="preserve"> </w:t>
      </w:r>
    </w:p>
    <w:p w:rsidR="007A0296" w:rsidRPr="007A0296" w:rsidRDefault="008645BB" w:rsidP="007A0296">
      <w:pPr>
        <w:pStyle w:val="ListParagraph"/>
        <w:numPr>
          <w:ilvl w:val="0"/>
          <w:numId w:val="6"/>
        </w:numPr>
        <w:shd w:val="clear" w:color="auto" w:fill="FFFFFF"/>
        <w:rPr>
          <w:rFonts w:ascii="Tahoma" w:hAnsi="Tahoma" w:cs="Tahoma"/>
          <w:b/>
          <w:color w:val="auto"/>
          <w:sz w:val="20"/>
          <w:szCs w:val="20"/>
          <w:lang w:val="en-GB"/>
        </w:rPr>
      </w:pPr>
      <w:hyperlink w:anchor="CCandEbAanewpragmaticapproachtobuffering" w:history="1">
        <w:r w:rsidR="007A0296" w:rsidRPr="005A46BC">
          <w:rPr>
            <w:rStyle w:val="Hyperlink"/>
            <w:rFonts w:ascii="Tahoma" w:hAnsi="Tahoma" w:cs="Tahoma"/>
            <w:b/>
            <w:sz w:val="20"/>
            <w:szCs w:val="20"/>
            <w:lang w:val="en-GB"/>
          </w:rPr>
          <w:t>New paper: "Climate change and EbA: a new pragmatic approach to buffering climate change impacts"</w:t>
        </w:r>
      </w:hyperlink>
    </w:p>
    <w:p w:rsidR="00395087" w:rsidRPr="00031CE0" w:rsidRDefault="00395087" w:rsidP="00395087">
      <w:pPr>
        <w:pStyle w:val="NoSpacing"/>
        <w:rPr>
          <w:rFonts w:ascii="Tahoma" w:hAnsi="Tahoma" w:cs="Tahoma"/>
          <w:b/>
          <w:color w:val="4F6228"/>
          <w:sz w:val="22"/>
          <w:szCs w:val="22"/>
        </w:rPr>
      </w:pPr>
    </w:p>
    <w:p w:rsidR="00395087" w:rsidRPr="00031CE0" w:rsidRDefault="00395087" w:rsidP="00395087">
      <w:pPr>
        <w:pStyle w:val="NoSpacing"/>
        <w:rPr>
          <w:rFonts w:ascii="Tahoma" w:hAnsi="Tahoma" w:cs="Tahoma"/>
          <w:b/>
          <w:color w:val="4F6228"/>
          <w:sz w:val="22"/>
          <w:szCs w:val="22"/>
        </w:rPr>
      </w:pPr>
      <w:r w:rsidRPr="00031CE0">
        <w:rPr>
          <w:rFonts w:ascii="Tahoma" w:hAnsi="Tahoma" w:cs="Tahoma"/>
          <w:b/>
          <w:color w:val="4F6228"/>
          <w:sz w:val="22"/>
          <w:szCs w:val="22"/>
        </w:rPr>
        <w:t>Opportunities and Events</w:t>
      </w:r>
    </w:p>
    <w:p w:rsidR="00395087" w:rsidRPr="00EB1C92" w:rsidRDefault="00395087" w:rsidP="00395087">
      <w:pPr>
        <w:pStyle w:val="NoSpacing"/>
        <w:rPr>
          <w:rFonts w:ascii="Tahoma" w:hAnsi="Tahoma" w:cs="Tahoma"/>
          <w:b/>
          <w:sz w:val="22"/>
          <w:szCs w:val="22"/>
        </w:rPr>
      </w:pPr>
    </w:p>
    <w:p w:rsidR="0055690D" w:rsidRPr="005A46BC" w:rsidRDefault="008645BB" w:rsidP="0055690D">
      <w:pPr>
        <w:pStyle w:val="NormalWeb"/>
        <w:numPr>
          <w:ilvl w:val="0"/>
          <w:numId w:val="15"/>
        </w:numPr>
        <w:spacing w:before="0" w:beforeAutospacing="0" w:after="0" w:afterAutospacing="0"/>
        <w:rPr>
          <w:rFonts w:ascii="Tahoma" w:hAnsi="Tahoma" w:cs="Tahoma"/>
          <w:b/>
          <w:bCs/>
          <w:sz w:val="20"/>
          <w:szCs w:val="20"/>
        </w:rPr>
      </w:pPr>
      <w:hyperlink w:anchor="AsiaPacificCountriesReceive160MillionCC" w:history="1">
        <w:r w:rsidR="0055690D" w:rsidRPr="005A46BC">
          <w:rPr>
            <w:rStyle w:val="Hyperlink"/>
            <w:rFonts w:ascii="Tahoma" w:hAnsi="Tahoma" w:cs="Tahoma"/>
            <w:b/>
            <w:sz w:val="20"/>
            <w:szCs w:val="20"/>
          </w:rPr>
          <w:t>Asia-Pacific: Countries Receive $160 Million for Climate Change</w:t>
        </w:r>
      </w:hyperlink>
    </w:p>
    <w:p w:rsidR="004103A4" w:rsidRPr="0055690D" w:rsidRDefault="004103A4" w:rsidP="0055690D">
      <w:pPr>
        <w:pStyle w:val="ListParagraph"/>
      </w:pPr>
    </w:p>
    <w:p w:rsidR="00031CE0" w:rsidRPr="00031CE0" w:rsidRDefault="00031CE0">
      <w:pPr>
        <w:rPr>
          <w:rFonts w:ascii="Tahoma" w:hAnsi="Tahoma" w:cs="Tahoma"/>
        </w:rPr>
      </w:pPr>
      <w:r w:rsidRPr="00031CE0">
        <w:rPr>
          <w:rFonts w:ascii="Tahoma" w:hAnsi="Tahoma" w:cs="Tahoma"/>
        </w:rPr>
        <w:br w:type="page"/>
      </w:r>
    </w:p>
    <w:p w:rsidR="00F56D8E" w:rsidRPr="00F56D8E" w:rsidRDefault="00F56D8E" w:rsidP="00F56D8E">
      <w:pPr>
        <w:pStyle w:val="Heading1"/>
        <w:rPr>
          <w:rFonts w:ascii="Tahoma" w:hAnsi="Tahoma" w:cs="Tahoma"/>
          <w:color w:val="4F6228" w:themeColor="accent3" w:themeShade="80"/>
          <w:sz w:val="28"/>
          <w:szCs w:val="20"/>
        </w:rPr>
      </w:pPr>
      <w:bookmarkStart w:id="2" w:name="FAOReleasesCCMitigationinAgriLearningMat"/>
      <w:r w:rsidRPr="00F56D8E">
        <w:rPr>
          <w:rFonts w:ascii="Tahoma" w:hAnsi="Tahoma" w:cs="Tahoma"/>
          <w:color w:val="4F6228" w:themeColor="accent3" w:themeShade="80"/>
          <w:sz w:val="28"/>
          <w:szCs w:val="20"/>
        </w:rPr>
        <w:lastRenderedPageBreak/>
        <w:t>FAO Releases Climate Change Mitigation in Agriculture Learning Materials</w:t>
      </w:r>
    </w:p>
    <w:bookmarkEnd w:id="2"/>
    <w:p w:rsidR="00F56D8E" w:rsidRPr="00F56D8E" w:rsidRDefault="00F56D8E" w:rsidP="00F56D8E">
      <w:pPr>
        <w:pStyle w:val="NormalWeb"/>
        <w:rPr>
          <w:rFonts w:ascii="Tahoma" w:hAnsi="Tahoma" w:cs="Tahoma"/>
          <w:sz w:val="20"/>
          <w:szCs w:val="20"/>
        </w:rPr>
      </w:pPr>
      <w:r w:rsidRPr="00F56D8E">
        <w:rPr>
          <w:rFonts w:ascii="Tahoma" w:hAnsi="Tahoma" w:cs="Tahoma"/>
          <w:noProof/>
          <w:sz w:val="20"/>
          <w:szCs w:val="20"/>
          <w:lang w:val="en-US" w:eastAsia="en-US"/>
        </w:rPr>
        <w:drawing>
          <wp:anchor distT="0" distB="0" distL="114300" distR="114300" simplePos="0" relativeHeight="251660288" behindDoc="1" locked="0" layoutInCell="1" allowOverlap="1">
            <wp:simplePos x="0" y="0"/>
            <wp:positionH relativeFrom="column">
              <wp:posOffset>19050</wp:posOffset>
            </wp:positionH>
            <wp:positionV relativeFrom="paragraph">
              <wp:posOffset>2540</wp:posOffset>
            </wp:positionV>
            <wp:extent cx="476250" cy="476250"/>
            <wp:effectExtent l="19050" t="0" r="0" b="0"/>
            <wp:wrapTight wrapText="bothSides">
              <wp:wrapPolygon edited="0">
                <wp:start x="-864" y="0"/>
                <wp:lineTo x="-864" y="20736"/>
                <wp:lineTo x="21600" y="20736"/>
                <wp:lineTo x="21600" y="0"/>
                <wp:lineTo x="-864" y="0"/>
              </wp:wrapPolygon>
            </wp:wrapTight>
            <wp:docPr id="10" name="Picture 5" descr="F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O"/>
                    <pic:cNvPicPr>
                      <a:picLocks noChangeAspect="1" noChangeArrowheads="1"/>
                    </pic:cNvPicPr>
                  </pic:nvPicPr>
                  <pic:blipFill>
                    <a:blip r:embed="rId5" cstate="print"/>
                    <a:srcRect/>
                    <a:stretch>
                      <a:fillRect/>
                    </a:stretch>
                  </pic:blipFill>
                  <pic:spPr bwMode="auto">
                    <a:xfrm>
                      <a:off x="0" y="0"/>
                      <a:ext cx="476250" cy="476250"/>
                    </a:xfrm>
                    <a:prstGeom prst="rect">
                      <a:avLst/>
                    </a:prstGeom>
                    <a:noFill/>
                    <a:ln w="9525">
                      <a:noFill/>
                      <a:miter lim="800000"/>
                      <a:headEnd/>
                      <a:tailEnd/>
                    </a:ln>
                  </pic:spPr>
                </pic:pic>
              </a:graphicData>
            </a:graphic>
          </wp:anchor>
        </w:drawing>
      </w:r>
      <w:r w:rsidRPr="00F56D8E">
        <w:rPr>
          <w:rFonts w:ascii="Tahoma" w:hAnsi="Tahoma" w:cs="Tahoma"/>
          <w:sz w:val="20"/>
          <w:szCs w:val="20"/>
        </w:rPr>
        <w:t>November 2012: As part of the global learning efforts on sustainable agriculture to help meet climate change mitigation goals, the Food and Agriculture Organization of the UN (FAO) has released the materials and presentations from the 11 webinar sessions held during the month of September 2012 on "Conservation agriculture for climate change mitigation."</w:t>
      </w:r>
    </w:p>
    <w:p w:rsidR="00F56D8E" w:rsidRPr="00F56D8E" w:rsidRDefault="00F56D8E" w:rsidP="00F56D8E">
      <w:pPr>
        <w:pStyle w:val="NormalWeb"/>
        <w:rPr>
          <w:rFonts w:ascii="Tahoma" w:hAnsi="Tahoma" w:cs="Tahoma"/>
          <w:sz w:val="20"/>
          <w:szCs w:val="20"/>
        </w:rPr>
      </w:pPr>
      <w:r w:rsidRPr="00F56D8E">
        <w:rPr>
          <w:rFonts w:ascii="Tahoma" w:hAnsi="Tahoma" w:cs="Tahoma"/>
          <w:sz w:val="20"/>
          <w:szCs w:val="20"/>
        </w:rPr>
        <w:t>The learning event was organized by the community of practice for climate change mitigation in agriculture. It explored issues related to: organic carbon accumulation and emissions from conservation agriculture; the relevance of conservation agriculture in arid and semi-arid areas; and suitable machinery for climate-smart conservation agriculture. [</w:t>
      </w:r>
      <w:hyperlink r:id="rId6" w:tgtFrame="_blank" w:history="1">
        <w:r w:rsidRPr="00F56D8E">
          <w:rPr>
            <w:rStyle w:val="Hyperlink"/>
            <w:rFonts w:ascii="Tahoma" w:hAnsi="Tahoma" w:cs="Tahoma"/>
            <w:sz w:val="20"/>
            <w:szCs w:val="20"/>
          </w:rPr>
          <w:t>FAO Learning Event on Conservation Agriculture for Climate Change Mitigation</w:t>
        </w:r>
      </w:hyperlink>
      <w:r w:rsidRPr="00F56D8E">
        <w:rPr>
          <w:rFonts w:ascii="Tahoma" w:hAnsi="Tahoma" w:cs="Tahoma"/>
          <w:sz w:val="20"/>
          <w:szCs w:val="20"/>
        </w:rPr>
        <w:t>]</w:t>
      </w:r>
    </w:p>
    <w:p w:rsidR="001319B1" w:rsidRPr="001319B1" w:rsidRDefault="001319B1" w:rsidP="001319B1">
      <w:pPr>
        <w:pStyle w:val="Heading1"/>
        <w:rPr>
          <w:rFonts w:ascii="Tahoma" w:hAnsi="Tahoma" w:cs="Tahoma"/>
          <w:color w:val="4F6228" w:themeColor="accent3" w:themeShade="80"/>
          <w:sz w:val="28"/>
          <w:szCs w:val="20"/>
        </w:rPr>
      </w:pPr>
      <w:bookmarkStart w:id="3" w:name="GCARDConferenceFocusesonEngagingSFarmers"/>
      <w:r w:rsidRPr="001319B1">
        <w:rPr>
          <w:rFonts w:ascii="Tahoma" w:hAnsi="Tahoma" w:cs="Tahoma"/>
          <w:color w:val="4F6228" w:themeColor="accent3" w:themeShade="80"/>
          <w:sz w:val="28"/>
          <w:szCs w:val="20"/>
        </w:rPr>
        <w:t>GCARD Conference Focuses on Engaging Smallholder Farmers</w:t>
      </w:r>
      <w:bookmarkEnd w:id="3"/>
    </w:p>
    <w:p w:rsidR="001319B1" w:rsidRPr="001319B1" w:rsidRDefault="001319B1" w:rsidP="001319B1">
      <w:pPr>
        <w:pStyle w:val="NormalWeb"/>
        <w:rPr>
          <w:rFonts w:ascii="Tahoma" w:hAnsi="Tahoma" w:cs="Tahoma"/>
          <w:sz w:val="20"/>
          <w:szCs w:val="20"/>
        </w:rPr>
      </w:pPr>
      <w:r w:rsidRPr="001319B1">
        <w:rPr>
          <w:rFonts w:ascii="Tahoma" w:hAnsi="Tahoma" w:cs="Tahoma"/>
          <w:noProof/>
          <w:sz w:val="20"/>
          <w:szCs w:val="20"/>
          <w:lang w:val="en-US" w:eastAsia="en-US"/>
        </w:rPr>
        <w:drawing>
          <wp:anchor distT="0" distB="0" distL="114300" distR="114300" simplePos="0" relativeHeight="251659264" behindDoc="1" locked="0" layoutInCell="1" allowOverlap="1">
            <wp:simplePos x="0" y="0"/>
            <wp:positionH relativeFrom="column">
              <wp:posOffset>19050</wp:posOffset>
            </wp:positionH>
            <wp:positionV relativeFrom="paragraph">
              <wp:posOffset>2540</wp:posOffset>
            </wp:positionV>
            <wp:extent cx="514350" cy="523875"/>
            <wp:effectExtent l="19050" t="0" r="0" b="0"/>
            <wp:wrapTight wrapText="bothSides">
              <wp:wrapPolygon edited="0">
                <wp:start x="-800" y="0"/>
                <wp:lineTo x="-800" y="21207"/>
                <wp:lineTo x="21600" y="21207"/>
                <wp:lineTo x="21600" y="0"/>
                <wp:lineTo x="-800" y="0"/>
              </wp:wrapPolygon>
            </wp:wrapTight>
            <wp:docPr id="3" name="Picture 3" descr="http://iisdrs.iisd.org/files/2012/11/Captura-de-pantalla-2012-11-12-a-las-13.5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sdrs.iisd.org/files/2012/11/Captura-de-pantalla-2012-11-12-a-las-13.53.25.png"/>
                    <pic:cNvPicPr>
                      <a:picLocks noChangeAspect="1" noChangeArrowheads="1"/>
                    </pic:cNvPicPr>
                  </pic:nvPicPr>
                  <pic:blipFill>
                    <a:blip r:embed="rId7" cstate="print"/>
                    <a:srcRect/>
                    <a:stretch>
                      <a:fillRect/>
                    </a:stretch>
                  </pic:blipFill>
                  <pic:spPr bwMode="auto">
                    <a:xfrm>
                      <a:off x="0" y="0"/>
                      <a:ext cx="514350" cy="523875"/>
                    </a:xfrm>
                    <a:prstGeom prst="rect">
                      <a:avLst/>
                    </a:prstGeom>
                    <a:noFill/>
                    <a:ln w="9525">
                      <a:noFill/>
                      <a:miter lim="800000"/>
                      <a:headEnd/>
                      <a:tailEnd/>
                    </a:ln>
                  </pic:spPr>
                </pic:pic>
              </a:graphicData>
            </a:graphic>
          </wp:anchor>
        </w:drawing>
      </w:r>
      <w:r w:rsidRPr="001319B1">
        <w:rPr>
          <w:rFonts w:ascii="Tahoma" w:hAnsi="Tahoma" w:cs="Tahoma"/>
          <w:sz w:val="20"/>
          <w:szCs w:val="20"/>
        </w:rPr>
        <w:t>1 November 2012: During the Second Global Conference on Agricultural Research for Development (CGARD) a broad range of stakeholders discussed the importance of open access to agricultural research, best practices on engaging smallholder farmers and implementation of the GCARD six-point Road Map.</w:t>
      </w:r>
    </w:p>
    <w:p w:rsidR="001319B1" w:rsidRPr="001319B1" w:rsidRDefault="001319B1" w:rsidP="001319B1">
      <w:pPr>
        <w:pStyle w:val="NormalWeb"/>
        <w:rPr>
          <w:rFonts w:ascii="Tahoma" w:hAnsi="Tahoma" w:cs="Tahoma"/>
          <w:sz w:val="20"/>
          <w:szCs w:val="20"/>
        </w:rPr>
      </w:pPr>
      <w:r w:rsidRPr="001319B1">
        <w:rPr>
          <w:rFonts w:ascii="Tahoma" w:hAnsi="Tahoma" w:cs="Tahoma"/>
          <w:sz w:val="20"/>
          <w:szCs w:val="20"/>
        </w:rPr>
        <w:t xml:space="preserve">The GCARD Road Map focuses on inclusive priority-setting, equal partnerships, increased investment, improved capacities, improved development impacts and better communication of achievements. During the Conference, sessions addressed: agricultural innovations for rural women; partnerships at </w:t>
      </w:r>
      <w:proofErr w:type="spellStart"/>
      <w:r w:rsidRPr="001319B1">
        <w:rPr>
          <w:rFonts w:ascii="Tahoma" w:hAnsi="Tahoma" w:cs="Tahoma"/>
          <w:sz w:val="20"/>
          <w:szCs w:val="20"/>
        </w:rPr>
        <w:t>spacial</w:t>
      </w:r>
      <w:proofErr w:type="spellEnd"/>
      <w:r w:rsidRPr="001319B1">
        <w:rPr>
          <w:rFonts w:ascii="Tahoma" w:hAnsi="Tahoma" w:cs="Tahoma"/>
          <w:sz w:val="20"/>
          <w:szCs w:val="20"/>
        </w:rPr>
        <w:t xml:space="preserve"> scales and across a variety of thematic issues, including climate change; the integration of the voice of smallholders into shaping priorities; and approaches to sharing and using knowledge.</w:t>
      </w:r>
    </w:p>
    <w:p w:rsidR="001319B1" w:rsidRPr="001319B1" w:rsidRDefault="001319B1" w:rsidP="001319B1">
      <w:pPr>
        <w:pStyle w:val="NormalWeb"/>
        <w:rPr>
          <w:rFonts w:ascii="Tahoma" w:hAnsi="Tahoma" w:cs="Tahoma"/>
          <w:sz w:val="20"/>
          <w:szCs w:val="20"/>
        </w:rPr>
      </w:pPr>
      <w:r w:rsidRPr="001319B1">
        <w:rPr>
          <w:rFonts w:ascii="Tahoma" w:hAnsi="Tahoma" w:cs="Tahoma"/>
          <w:sz w:val="20"/>
          <w:szCs w:val="20"/>
        </w:rPr>
        <w:t>The meeting was held in Punta de Este, Uruguay, from 29 October - 1 November 2012. The conference was sponsored by the Food and Agriculture Organization of the UN (FAO), the Consultative Group on International Agricultural Research (CGIAR), and a range of other institutions. [</w:t>
      </w:r>
      <w:hyperlink r:id="rId8" w:tgtFrame="_blank" w:history="1">
        <w:r w:rsidRPr="001319B1">
          <w:rPr>
            <w:rStyle w:val="Hyperlink"/>
            <w:rFonts w:ascii="Tahoma" w:hAnsi="Tahoma" w:cs="Tahoma"/>
            <w:sz w:val="20"/>
            <w:szCs w:val="20"/>
          </w:rPr>
          <w:t>GCARD 2012 Website</w:t>
        </w:r>
      </w:hyperlink>
      <w:r w:rsidRPr="001319B1">
        <w:rPr>
          <w:rFonts w:ascii="Tahoma" w:hAnsi="Tahoma" w:cs="Tahoma"/>
          <w:sz w:val="20"/>
          <w:szCs w:val="20"/>
        </w:rPr>
        <w:t>]</w:t>
      </w:r>
    </w:p>
    <w:p w:rsidR="00C81EA0" w:rsidRPr="00C81EA0" w:rsidRDefault="00C81EA0" w:rsidP="00C81EA0">
      <w:pPr>
        <w:rPr>
          <w:rFonts w:ascii="Tahoma" w:hAnsi="Tahoma" w:cs="Tahoma"/>
          <w:b/>
          <w:color w:val="4F6228" w:themeColor="accent3" w:themeShade="80"/>
          <w:sz w:val="28"/>
          <w:szCs w:val="20"/>
          <w:lang w:val="en-US"/>
        </w:rPr>
      </w:pPr>
      <w:bookmarkStart w:id="4" w:name="NewCCAFSPolicyBriefreleased"/>
      <w:r w:rsidRPr="00C81EA0">
        <w:rPr>
          <w:rFonts w:ascii="Tahoma" w:hAnsi="Tahoma" w:cs="Tahoma"/>
          <w:b/>
          <w:color w:val="4F6228" w:themeColor="accent3" w:themeShade="80"/>
          <w:sz w:val="28"/>
          <w:szCs w:val="20"/>
          <w:lang w:val="en-US"/>
        </w:rPr>
        <w:t>New CCAFS Policy Brief released</w:t>
      </w:r>
    </w:p>
    <w:bookmarkEnd w:id="4"/>
    <w:p w:rsidR="00C81EA0" w:rsidRPr="00C81EA0" w:rsidRDefault="00C81EA0" w:rsidP="00C81EA0">
      <w:pPr>
        <w:rPr>
          <w:rFonts w:ascii="Tahoma" w:hAnsi="Tahoma" w:cs="Tahoma"/>
          <w:color w:val="000000"/>
          <w:sz w:val="20"/>
          <w:szCs w:val="20"/>
          <w:lang w:val="da-DK"/>
        </w:rPr>
      </w:pPr>
      <w:r w:rsidRPr="00C81EA0">
        <w:rPr>
          <w:rFonts w:ascii="Tahoma" w:hAnsi="Tahoma" w:cs="Tahoma"/>
          <w:color w:val="000000"/>
          <w:sz w:val="20"/>
          <w:szCs w:val="20"/>
          <w:lang w:val="en-US"/>
        </w:rPr>
        <w:t xml:space="preserve">We are happy to announce that </w:t>
      </w:r>
      <w:hyperlink r:id="rId9" w:tgtFrame="_blank" w:history="1">
        <w:r w:rsidRPr="00C81EA0">
          <w:rPr>
            <w:rStyle w:val="Hyperlink"/>
            <w:rFonts w:ascii="Tahoma" w:hAnsi="Tahoma" w:cs="Tahoma"/>
            <w:sz w:val="20"/>
            <w:szCs w:val="20"/>
            <w:lang w:val="en-US"/>
          </w:rPr>
          <w:t>the CGIAR Research Program on Climate Change, Agriculture and Food Security (CCAFS)</w:t>
        </w:r>
      </w:hyperlink>
      <w:r w:rsidRPr="00C81EA0">
        <w:rPr>
          <w:rFonts w:ascii="Tahoma" w:hAnsi="Tahoma" w:cs="Tahoma"/>
          <w:color w:val="000000"/>
          <w:sz w:val="20"/>
          <w:szCs w:val="20"/>
          <w:lang w:val="en-US"/>
        </w:rPr>
        <w:t xml:space="preserve"> just released its latest Policy Brief </w:t>
      </w:r>
      <w:hyperlink r:id="rId10" w:tgtFrame="_blank" w:history="1">
        <w:r w:rsidRPr="00C81EA0">
          <w:rPr>
            <w:rStyle w:val="Hyperlink"/>
            <w:rFonts w:ascii="Tahoma" w:hAnsi="Tahoma" w:cs="Tahoma"/>
            <w:b/>
            <w:bCs/>
            <w:sz w:val="20"/>
            <w:szCs w:val="20"/>
            <w:lang w:val="en-US"/>
          </w:rPr>
          <w:t>"Recalibrating Food Production in the Developing World: Global Warming Will Change More Than Just the Climate"</w:t>
        </w:r>
      </w:hyperlink>
      <w:r w:rsidRPr="00C81EA0">
        <w:rPr>
          <w:rFonts w:ascii="Tahoma" w:hAnsi="Tahoma" w:cs="Tahoma"/>
          <w:color w:val="000000"/>
          <w:sz w:val="20"/>
          <w:szCs w:val="20"/>
          <w:lang w:val="en-US"/>
        </w:rPr>
        <w:t>. The brief, edited by Philip Thornton and developed with input from </w:t>
      </w:r>
      <w:r w:rsidRPr="00C81EA0">
        <w:rPr>
          <w:rFonts w:ascii="Tahoma" w:hAnsi="Tahoma" w:cs="Tahoma"/>
          <w:b/>
          <w:bCs/>
          <w:color w:val="000000"/>
          <w:sz w:val="20"/>
          <w:szCs w:val="20"/>
          <w:lang w:val="en-US"/>
        </w:rPr>
        <w:t>scientists at each CGIAR center, </w:t>
      </w:r>
      <w:proofErr w:type="spellStart"/>
      <w:r w:rsidRPr="00C81EA0">
        <w:rPr>
          <w:rFonts w:ascii="Tahoma" w:hAnsi="Tahoma" w:cs="Tahoma"/>
          <w:color w:val="000000"/>
          <w:sz w:val="20"/>
          <w:szCs w:val="20"/>
          <w:lang w:val="en-US"/>
        </w:rPr>
        <w:t>synthesises</w:t>
      </w:r>
      <w:proofErr w:type="spellEnd"/>
      <w:r w:rsidRPr="00C81EA0">
        <w:rPr>
          <w:rFonts w:ascii="Tahoma" w:hAnsi="Tahoma" w:cs="Tahoma"/>
          <w:color w:val="000000"/>
          <w:sz w:val="20"/>
          <w:szCs w:val="20"/>
          <w:lang w:val="en-US"/>
        </w:rPr>
        <w:t xml:space="preserve"> key messages about what is </w:t>
      </w:r>
      <w:r w:rsidRPr="00C81EA0">
        <w:rPr>
          <w:rFonts w:ascii="Tahoma" w:hAnsi="Tahoma" w:cs="Tahoma"/>
          <w:b/>
          <w:bCs/>
          <w:color w:val="000000"/>
          <w:sz w:val="20"/>
          <w:szCs w:val="20"/>
          <w:lang w:val="en-US"/>
        </w:rPr>
        <w:t>currently known about the likely impacts of climate change on the commodities and natural resources</w:t>
      </w:r>
      <w:r w:rsidRPr="00C81EA0">
        <w:rPr>
          <w:rFonts w:ascii="Tahoma" w:hAnsi="Tahoma" w:cs="Tahoma"/>
          <w:color w:val="000000"/>
          <w:sz w:val="20"/>
          <w:szCs w:val="20"/>
          <w:lang w:val="en-US"/>
        </w:rPr>
        <w:t xml:space="preserve"> that comprise the mandate of the CGIAR and its 15 </w:t>
      </w:r>
      <w:proofErr w:type="spellStart"/>
      <w:r w:rsidRPr="00C81EA0">
        <w:rPr>
          <w:rFonts w:ascii="Tahoma" w:hAnsi="Tahoma" w:cs="Tahoma"/>
          <w:color w:val="000000"/>
          <w:sz w:val="20"/>
          <w:szCs w:val="20"/>
          <w:lang w:val="en-US"/>
        </w:rPr>
        <w:t>Centres</w:t>
      </w:r>
      <w:proofErr w:type="spellEnd"/>
      <w:r w:rsidRPr="00C81EA0">
        <w:rPr>
          <w:rFonts w:ascii="Tahoma" w:hAnsi="Tahoma" w:cs="Tahoma"/>
          <w:color w:val="000000"/>
          <w:sz w:val="20"/>
          <w:szCs w:val="20"/>
          <w:lang w:val="en-US"/>
        </w:rPr>
        <w:t>. </w:t>
      </w:r>
    </w:p>
    <w:p w:rsidR="00C81EA0" w:rsidRPr="00C81EA0" w:rsidRDefault="00C81EA0" w:rsidP="00C81EA0">
      <w:pPr>
        <w:rPr>
          <w:rFonts w:ascii="Tahoma" w:hAnsi="Tahoma" w:cs="Tahoma"/>
          <w:color w:val="000000"/>
          <w:sz w:val="20"/>
          <w:szCs w:val="20"/>
          <w:lang w:val="da-DK"/>
        </w:rPr>
      </w:pPr>
      <w:r w:rsidRPr="00C81EA0">
        <w:rPr>
          <w:rFonts w:ascii="Tahoma" w:hAnsi="Tahoma" w:cs="Tahoma"/>
          <w:b/>
          <w:bCs/>
          <w:color w:val="000000"/>
          <w:sz w:val="20"/>
          <w:szCs w:val="20"/>
          <w:lang w:val="da-DK"/>
        </w:rPr>
        <w:t>Read related blog story:</w:t>
      </w:r>
      <w:r w:rsidRPr="00C81EA0">
        <w:rPr>
          <w:rFonts w:ascii="Tahoma" w:hAnsi="Tahoma" w:cs="Tahoma"/>
          <w:color w:val="000000"/>
          <w:sz w:val="20"/>
          <w:szCs w:val="20"/>
          <w:lang w:val="da-DK"/>
        </w:rPr>
        <w:t xml:space="preserve"> </w:t>
      </w:r>
      <w:hyperlink r:id="rId11" w:tgtFrame="_blank" w:history="1">
        <w:r w:rsidRPr="00C81EA0">
          <w:rPr>
            <w:rStyle w:val="Hyperlink"/>
            <w:rFonts w:ascii="Tahoma" w:hAnsi="Tahoma" w:cs="Tahoma"/>
            <w:sz w:val="20"/>
            <w:szCs w:val="20"/>
            <w:lang w:val="da-DK"/>
          </w:rPr>
          <w:t>”</w:t>
        </w:r>
      </w:hyperlink>
      <w:hyperlink r:id="rId12" w:tgtFrame="_blank" w:history="1">
        <w:r w:rsidRPr="00C81EA0">
          <w:rPr>
            <w:rStyle w:val="Hyperlink"/>
            <w:rFonts w:ascii="Tahoma" w:hAnsi="Tahoma" w:cs="Tahoma"/>
            <w:sz w:val="20"/>
            <w:szCs w:val="20"/>
            <w:lang w:val="da-DK"/>
          </w:rPr>
          <w:t>Recalibrating food production in a changing climate - what do we know and what can be done?"</w:t>
        </w:r>
      </w:hyperlink>
      <w:r w:rsidRPr="00C81EA0">
        <w:rPr>
          <w:rFonts w:ascii="Tahoma" w:hAnsi="Tahoma" w:cs="Tahoma"/>
          <w:color w:val="000000"/>
          <w:sz w:val="20"/>
          <w:szCs w:val="20"/>
          <w:lang w:val="da-DK"/>
        </w:rPr>
        <w:t>.</w:t>
      </w:r>
    </w:p>
    <w:p w:rsidR="00C81EA0" w:rsidRPr="00C81EA0" w:rsidRDefault="00C81EA0" w:rsidP="00C81EA0">
      <w:pPr>
        <w:rPr>
          <w:rFonts w:ascii="Tahoma" w:hAnsi="Tahoma" w:cs="Tahoma"/>
          <w:color w:val="000000"/>
          <w:sz w:val="20"/>
          <w:szCs w:val="20"/>
          <w:lang w:val="da-DK"/>
        </w:rPr>
      </w:pPr>
      <w:r w:rsidRPr="00C81EA0">
        <w:rPr>
          <w:rFonts w:ascii="Tahoma" w:hAnsi="Tahoma" w:cs="Tahoma"/>
          <w:b/>
          <w:bCs/>
          <w:color w:val="000000"/>
          <w:sz w:val="20"/>
          <w:szCs w:val="20"/>
          <w:lang w:val="en-US"/>
        </w:rPr>
        <w:t>View publication:</w:t>
      </w:r>
      <w:r w:rsidRPr="00C81EA0">
        <w:rPr>
          <w:rFonts w:ascii="Tahoma" w:hAnsi="Tahoma" w:cs="Tahoma"/>
          <w:color w:val="000000"/>
          <w:sz w:val="20"/>
          <w:szCs w:val="20"/>
          <w:lang w:val="en-US"/>
        </w:rPr>
        <w:t xml:space="preserve"> </w:t>
      </w:r>
      <w:hyperlink r:id="rId13" w:tgtFrame="_blank" w:history="1">
        <w:r w:rsidRPr="00C81EA0">
          <w:rPr>
            <w:rStyle w:val="Hyperlink"/>
            <w:rFonts w:ascii="Tahoma" w:hAnsi="Tahoma" w:cs="Tahoma"/>
            <w:sz w:val="20"/>
            <w:szCs w:val="20"/>
            <w:lang w:val="en-US"/>
          </w:rPr>
          <w:t>http://cgspace.cgiar.org/handle/10568/24696</w:t>
        </w:r>
      </w:hyperlink>
    </w:p>
    <w:p w:rsidR="00C81EA0" w:rsidRPr="00C81EA0" w:rsidRDefault="00C81EA0" w:rsidP="00C81EA0">
      <w:pPr>
        <w:rPr>
          <w:rFonts w:ascii="Tahoma" w:hAnsi="Tahoma" w:cs="Tahoma"/>
          <w:color w:val="000000"/>
          <w:sz w:val="20"/>
          <w:szCs w:val="20"/>
          <w:lang w:val="da-DK"/>
        </w:rPr>
      </w:pPr>
      <w:r w:rsidRPr="00C81EA0">
        <w:rPr>
          <w:rFonts w:ascii="Tahoma" w:hAnsi="Tahoma" w:cs="Tahoma"/>
          <w:color w:val="000000"/>
          <w:sz w:val="20"/>
          <w:szCs w:val="20"/>
          <w:lang w:val="en-US"/>
        </w:rPr>
        <w:t xml:space="preserve">The publication </w:t>
      </w:r>
      <w:r w:rsidRPr="00C81EA0">
        <w:rPr>
          <w:rFonts w:ascii="Tahoma" w:hAnsi="Tahoma" w:cs="Tahoma"/>
          <w:b/>
          <w:bCs/>
          <w:color w:val="000000"/>
          <w:sz w:val="20"/>
          <w:szCs w:val="20"/>
          <w:lang w:val="en-US"/>
        </w:rPr>
        <w:t>reveals a number of cross-cutting themes</w:t>
      </w:r>
      <w:r w:rsidRPr="00C81EA0">
        <w:rPr>
          <w:rFonts w:ascii="Tahoma" w:hAnsi="Tahoma" w:cs="Tahoma"/>
          <w:color w:val="000000"/>
          <w:sz w:val="20"/>
          <w:szCs w:val="20"/>
          <w:lang w:val="en-US"/>
        </w:rPr>
        <w:t>, such as:</w:t>
      </w:r>
    </w:p>
    <w:p w:rsidR="00C81EA0" w:rsidRPr="00C81EA0" w:rsidRDefault="00160CEF" w:rsidP="00C81EA0">
      <w:pPr>
        <w:ind w:hanging="360"/>
        <w:rPr>
          <w:rFonts w:ascii="Tahoma" w:hAnsi="Tahoma" w:cs="Tahoma"/>
          <w:color w:val="000000"/>
          <w:sz w:val="20"/>
          <w:szCs w:val="20"/>
          <w:lang w:val="da-DK"/>
        </w:rPr>
      </w:pPr>
      <w:r>
        <w:rPr>
          <w:rFonts w:ascii="Tahoma" w:hAnsi="Tahoma" w:cs="Tahoma"/>
          <w:color w:val="000000"/>
          <w:sz w:val="20"/>
          <w:szCs w:val="20"/>
          <w:lang w:val="en-US"/>
        </w:rPr>
        <w:t xml:space="preserve">      </w:t>
      </w:r>
      <w:r w:rsidR="00C81EA0" w:rsidRPr="00C81EA0">
        <w:rPr>
          <w:rFonts w:ascii="Tahoma" w:hAnsi="Tahoma" w:cs="Tahoma"/>
          <w:color w:val="000000"/>
          <w:sz w:val="20"/>
          <w:szCs w:val="20"/>
          <w:lang w:val="en-US"/>
        </w:rPr>
        <w:t xml:space="preserve">Recalibrating agriculture in the face of climate change is more than planting crops that can tolerate warmer weather. Durable crops might cope with warm weather but cannot resist the insects and diseases whose prevalence will increase. </w:t>
      </w:r>
    </w:p>
    <w:p w:rsidR="00C81EA0" w:rsidRPr="00C81EA0" w:rsidRDefault="00C81EA0" w:rsidP="00C81EA0">
      <w:pPr>
        <w:ind w:hanging="360"/>
        <w:rPr>
          <w:rFonts w:ascii="Tahoma" w:hAnsi="Tahoma" w:cs="Tahoma"/>
          <w:color w:val="000000"/>
          <w:sz w:val="20"/>
          <w:szCs w:val="20"/>
          <w:lang w:val="da-DK"/>
        </w:rPr>
      </w:pPr>
      <w:r w:rsidRPr="00C81EA0">
        <w:rPr>
          <w:rFonts w:ascii="Tahoma" w:hAnsi="Tahoma" w:cs="Tahoma"/>
          <w:color w:val="000000"/>
          <w:sz w:val="20"/>
          <w:szCs w:val="20"/>
          <w:lang w:val="en-US"/>
        </w:rPr>
        <w:lastRenderedPageBreak/>
        <w:t xml:space="preserve">·      - Securing and maintaining necessary levels of calories, protein and nutrients for populations around the world will be an exceptional challenge. </w:t>
      </w:r>
    </w:p>
    <w:p w:rsidR="00C81EA0" w:rsidRPr="00C81EA0" w:rsidRDefault="00C81EA0" w:rsidP="00C81EA0">
      <w:pPr>
        <w:ind w:hanging="360"/>
        <w:rPr>
          <w:rFonts w:ascii="Tahoma" w:hAnsi="Tahoma" w:cs="Tahoma"/>
          <w:color w:val="000000"/>
          <w:sz w:val="20"/>
          <w:szCs w:val="20"/>
          <w:lang w:val="da-DK"/>
        </w:rPr>
      </w:pPr>
      <w:r w:rsidRPr="00C81EA0">
        <w:rPr>
          <w:rFonts w:ascii="Tahoma" w:hAnsi="Tahoma" w:cs="Tahoma"/>
          <w:color w:val="000000"/>
          <w:sz w:val="20"/>
          <w:szCs w:val="20"/>
          <w:lang w:val="en-US"/>
        </w:rPr>
        <w:t xml:space="preserve">·      - Production of the most common commodity staples—wheat, maize and rice—will be challenged by new weather patterns. </w:t>
      </w:r>
    </w:p>
    <w:p w:rsidR="00C81EA0" w:rsidRPr="00C81EA0" w:rsidRDefault="00C81EA0" w:rsidP="00C81EA0">
      <w:pPr>
        <w:ind w:hanging="360"/>
        <w:rPr>
          <w:rFonts w:ascii="Tahoma" w:hAnsi="Tahoma" w:cs="Tahoma"/>
          <w:color w:val="000000"/>
          <w:sz w:val="20"/>
          <w:szCs w:val="20"/>
          <w:lang w:val="da-DK"/>
        </w:rPr>
      </w:pPr>
      <w:r w:rsidRPr="00C81EA0">
        <w:rPr>
          <w:rFonts w:ascii="Tahoma" w:hAnsi="Tahoma" w:cs="Tahoma"/>
          <w:color w:val="000000"/>
          <w:sz w:val="20"/>
          <w:szCs w:val="20"/>
          <w:lang w:val="en-US"/>
        </w:rPr>
        <w:t>·      - Trees will continue to be valued as a provider of agricultural commodities like nuts and fruit; as a mitigating resource that removes carbon dioxide from the atmosphere; and also as a staple of adaptation.</w:t>
      </w:r>
    </w:p>
    <w:p w:rsidR="00C81EA0" w:rsidRPr="0089666C" w:rsidRDefault="00C81EA0" w:rsidP="00C81EA0">
      <w:pPr>
        <w:rPr>
          <w:rFonts w:ascii="Tahoma" w:hAnsi="Tahoma" w:cs="Tahoma"/>
          <w:color w:val="000000"/>
          <w:sz w:val="20"/>
          <w:szCs w:val="20"/>
          <w:lang w:val="da-DK"/>
        </w:rPr>
      </w:pPr>
      <w:r w:rsidRPr="00C81EA0">
        <w:rPr>
          <w:rFonts w:ascii="Tahoma" w:hAnsi="Tahoma" w:cs="Tahoma"/>
          <w:color w:val="000000"/>
          <w:sz w:val="20"/>
          <w:szCs w:val="20"/>
          <w:lang w:val="en-US"/>
        </w:rPr>
        <w:t xml:space="preserve">The </w:t>
      </w:r>
      <w:r w:rsidRPr="00C81EA0">
        <w:rPr>
          <w:rFonts w:ascii="Tahoma" w:hAnsi="Tahoma" w:cs="Tahoma"/>
          <w:b/>
          <w:bCs/>
          <w:color w:val="000000"/>
          <w:sz w:val="20"/>
          <w:szCs w:val="20"/>
          <w:lang w:val="en-US"/>
        </w:rPr>
        <w:t>brief is a summary of the study</w:t>
      </w:r>
      <w:r w:rsidRPr="00C81EA0">
        <w:rPr>
          <w:rFonts w:ascii="Tahoma" w:hAnsi="Tahoma" w:cs="Tahoma"/>
          <w:color w:val="000000"/>
          <w:sz w:val="20"/>
          <w:szCs w:val="20"/>
          <w:lang w:val="en-US"/>
        </w:rPr>
        <w:t xml:space="preserve"> “Impacts of climate change on the agricultural and aquatic systems and natural resources within the CGIAR’s mandate” published as CCAFS Working Paper 23 (Read the full report at </w:t>
      </w:r>
      <w:hyperlink r:id="rId14" w:tgtFrame="_blank" w:history="1">
        <w:r w:rsidRPr="00C81EA0">
          <w:rPr>
            <w:rStyle w:val="Hyperlink"/>
            <w:rFonts w:ascii="Tahoma" w:hAnsi="Tahoma" w:cs="Tahoma"/>
            <w:sz w:val="20"/>
            <w:szCs w:val="20"/>
            <w:lang w:val="en-US"/>
          </w:rPr>
          <w:t>http://hdl.handle.net/10568/21226</w:t>
        </w:r>
      </w:hyperlink>
      <w:r w:rsidRPr="00C81EA0">
        <w:rPr>
          <w:rFonts w:ascii="Tahoma" w:hAnsi="Tahoma" w:cs="Tahoma"/>
          <w:color w:val="000000"/>
          <w:sz w:val="20"/>
          <w:szCs w:val="20"/>
          <w:lang w:val="en-US"/>
        </w:rPr>
        <w:t xml:space="preserve">) which </w:t>
      </w:r>
      <w:proofErr w:type="spellStart"/>
      <w:r w:rsidRPr="00C81EA0">
        <w:rPr>
          <w:rFonts w:ascii="Tahoma" w:hAnsi="Tahoma" w:cs="Tahoma"/>
          <w:color w:val="000000"/>
          <w:sz w:val="20"/>
          <w:szCs w:val="20"/>
          <w:lang w:val="en-US"/>
        </w:rPr>
        <w:t>summarises</w:t>
      </w:r>
      <w:proofErr w:type="spellEnd"/>
      <w:r w:rsidRPr="00C81EA0">
        <w:rPr>
          <w:rFonts w:ascii="Tahoma" w:hAnsi="Tahoma" w:cs="Tahoma"/>
          <w:color w:val="000000"/>
          <w:sz w:val="20"/>
          <w:szCs w:val="20"/>
          <w:lang w:val="en-US"/>
        </w:rPr>
        <w:t xml:space="preserve"> climate impacts on 22 </w:t>
      </w:r>
      <w:r w:rsidRPr="0089666C">
        <w:rPr>
          <w:rFonts w:ascii="Tahoma" w:hAnsi="Tahoma" w:cs="Tahoma"/>
          <w:color w:val="000000"/>
          <w:sz w:val="20"/>
          <w:szCs w:val="20"/>
          <w:lang w:val="en-US"/>
        </w:rPr>
        <w:t xml:space="preserve">mandate commodities and for agroforestry, forests, and water. </w:t>
      </w:r>
    </w:p>
    <w:p w:rsidR="0089666C" w:rsidRPr="0089666C" w:rsidRDefault="0089666C" w:rsidP="0089666C">
      <w:pPr>
        <w:pStyle w:val="Heading1"/>
        <w:rPr>
          <w:rFonts w:ascii="Tahoma" w:hAnsi="Tahoma" w:cs="Tahoma"/>
          <w:color w:val="4F6228" w:themeColor="accent3" w:themeShade="80"/>
          <w:sz w:val="28"/>
          <w:szCs w:val="20"/>
        </w:rPr>
      </w:pPr>
      <w:bookmarkStart w:id="5" w:name="CCAFSExaminesCImpactsonAgriandNaturalRCo"/>
      <w:r w:rsidRPr="0089666C">
        <w:rPr>
          <w:rFonts w:ascii="Tahoma" w:hAnsi="Tahoma" w:cs="Tahoma"/>
          <w:color w:val="4F6228" w:themeColor="accent3" w:themeShade="80"/>
          <w:sz w:val="28"/>
          <w:szCs w:val="20"/>
        </w:rPr>
        <w:t>CCAFS Examines Climate Impacts on Agricultural and Natural Resource Commodities</w:t>
      </w:r>
    </w:p>
    <w:bookmarkEnd w:id="5"/>
    <w:p w:rsidR="0089666C" w:rsidRPr="0089666C" w:rsidRDefault="0089666C" w:rsidP="0089666C">
      <w:pPr>
        <w:pStyle w:val="NormalWeb"/>
        <w:rPr>
          <w:rFonts w:ascii="Tahoma" w:hAnsi="Tahoma" w:cs="Tahoma"/>
          <w:sz w:val="20"/>
          <w:szCs w:val="20"/>
        </w:rPr>
      </w:pPr>
      <w:r w:rsidRPr="0089666C">
        <w:rPr>
          <w:rFonts w:ascii="Tahoma" w:hAnsi="Tahoma" w:cs="Tahoma"/>
          <w:noProof/>
          <w:sz w:val="20"/>
          <w:szCs w:val="20"/>
          <w:lang w:val="en-US" w:eastAsia="en-US"/>
        </w:rPr>
        <w:drawing>
          <wp:anchor distT="0" distB="0" distL="114300" distR="114300" simplePos="0" relativeHeight="251658240" behindDoc="1" locked="0" layoutInCell="1" allowOverlap="1">
            <wp:simplePos x="0" y="0"/>
            <wp:positionH relativeFrom="column">
              <wp:posOffset>19050</wp:posOffset>
            </wp:positionH>
            <wp:positionV relativeFrom="paragraph">
              <wp:posOffset>0</wp:posOffset>
            </wp:positionV>
            <wp:extent cx="895350" cy="447675"/>
            <wp:effectExtent l="19050" t="0" r="0" b="0"/>
            <wp:wrapTight wrapText="bothSides">
              <wp:wrapPolygon edited="0">
                <wp:start x="-460" y="0"/>
                <wp:lineTo x="-460" y="21140"/>
                <wp:lineTo x="21600" y="21140"/>
                <wp:lineTo x="21600" y="0"/>
                <wp:lineTo x="-460" y="0"/>
              </wp:wrapPolygon>
            </wp:wrapTight>
            <wp:docPr id="2" name="Picture 1" descr="http://iisdrs.iisd.org/files/2010/07/CCA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isdrs.iisd.org/files/2010/07/CCAFS.jpg"/>
                    <pic:cNvPicPr>
                      <a:picLocks noChangeAspect="1" noChangeArrowheads="1"/>
                    </pic:cNvPicPr>
                  </pic:nvPicPr>
                  <pic:blipFill>
                    <a:blip r:embed="rId15" cstate="print"/>
                    <a:srcRect/>
                    <a:stretch>
                      <a:fillRect/>
                    </a:stretch>
                  </pic:blipFill>
                  <pic:spPr bwMode="auto">
                    <a:xfrm>
                      <a:off x="0" y="0"/>
                      <a:ext cx="895350" cy="447675"/>
                    </a:xfrm>
                    <a:prstGeom prst="rect">
                      <a:avLst/>
                    </a:prstGeom>
                    <a:noFill/>
                    <a:ln w="9525">
                      <a:noFill/>
                      <a:miter lim="800000"/>
                      <a:headEnd/>
                      <a:tailEnd/>
                    </a:ln>
                  </pic:spPr>
                </pic:pic>
              </a:graphicData>
            </a:graphic>
          </wp:anchor>
        </w:drawing>
      </w:r>
      <w:r w:rsidRPr="0089666C">
        <w:rPr>
          <w:rFonts w:ascii="Tahoma" w:hAnsi="Tahoma" w:cs="Tahoma"/>
          <w:sz w:val="20"/>
          <w:szCs w:val="20"/>
        </w:rPr>
        <w:t xml:space="preserve">October 2012: Highlighting the challenge that climate change poses to agricultural systems and the goal of feeding nine to ten billion people by 2050, the Climate Change, Agriculture and Food Security (CCAFS) Programme has released an analysis of climate impacts on food crops and natural resources. </w:t>
      </w:r>
    </w:p>
    <w:p w:rsidR="0089666C" w:rsidRPr="0089666C" w:rsidRDefault="0089666C" w:rsidP="0089666C">
      <w:pPr>
        <w:pStyle w:val="NormalWeb"/>
        <w:rPr>
          <w:rFonts w:ascii="Tahoma" w:hAnsi="Tahoma" w:cs="Tahoma"/>
          <w:sz w:val="20"/>
          <w:szCs w:val="20"/>
        </w:rPr>
      </w:pPr>
      <w:r w:rsidRPr="0089666C">
        <w:rPr>
          <w:rFonts w:ascii="Tahoma" w:hAnsi="Tahoma" w:cs="Tahoma"/>
          <w:sz w:val="20"/>
          <w:szCs w:val="20"/>
        </w:rPr>
        <w:t>The policy brief, titled "Recalibrating food production in the developing world: global warming will challenge more than just the climate," notes that climate impacts are more complex than simply heat and water tolerance for plants, and that there are feedback cycles in how natural resource are managed and their resilience to climate change. It highlights that durable crops might cope with warm weather but may not resist the insects and diseases whose prevalence will increase.</w:t>
      </w:r>
    </w:p>
    <w:p w:rsidR="0089666C" w:rsidRPr="0089666C" w:rsidRDefault="0089666C" w:rsidP="0089666C">
      <w:pPr>
        <w:pStyle w:val="NormalWeb"/>
        <w:rPr>
          <w:rFonts w:ascii="Tahoma" w:hAnsi="Tahoma" w:cs="Tahoma"/>
          <w:sz w:val="20"/>
          <w:szCs w:val="20"/>
        </w:rPr>
      </w:pPr>
      <w:r w:rsidRPr="0089666C">
        <w:rPr>
          <w:rFonts w:ascii="Tahoma" w:hAnsi="Tahoma" w:cs="Tahoma"/>
          <w:sz w:val="20"/>
          <w:szCs w:val="20"/>
        </w:rPr>
        <w:t xml:space="preserve">The brief describes changes that will face common staples like wheat, maize and corn, and impacts on livestock and fisheries. It </w:t>
      </w:r>
      <w:proofErr w:type="gramStart"/>
      <w:r w:rsidRPr="0089666C">
        <w:rPr>
          <w:rFonts w:ascii="Tahoma" w:hAnsi="Tahoma" w:cs="Tahoma"/>
          <w:sz w:val="20"/>
          <w:szCs w:val="20"/>
        </w:rPr>
        <w:t>further</w:t>
      </w:r>
      <w:proofErr w:type="gramEnd"/>
      <w:r w:rsidRPr="0089666C">
        <w:rPr>
          <w:rFonts w:ascii="Tahoma" w:hAnsi="Tahoma" w:cs="Tahoma"/>
          <w:sz w:val="20"/>
          <w:szCs w:val="20"/>
        </w:rPr>
        <w:t xml:space="preserve"> notes that trees will continue to be valued as a provider of agricultural commodities like nuts and fruit; both as a mitigating resource that removes carbon dioxide from the atmosphere, and as a staple of adaptation.</w:t>
      </w:r>
    </w:p>
    <w:p w:rsidR="0089666C" w:rsidRPr="0089666C" w:rsidRDefault="0089666C" w:rsidP="0089666C">
      <w:pPr>
        <w:pStyle w:val="NormalWeb"/>
        <w:rPr>
          <w:rFonts w:ascii="Tahoma" w:hAnsi="Tahoma" w:cs="Tahoma"/>
          <w:sz w:val="20"/>
          <w:szCs w:val="20"/>
        </w:rPr>
      </w:pPr>
      <w:r w:rsidRPr="0089666C">
        <w:rPr>
          <w:rFonts w:ascii="Tahoma" w:hAnsi="Tahoma" w:cs="Tahoma"/>
          <w:sz w:val="20"/>
          <w:szCs w:val="20"/>
        </w:rPr>
        <w:t xml:space="preserve">The brief is a summary/complement to a recent CCAFS publication on the Impacts of Climate Change on the Agricultural and Aquatic Systems and Natural Resources within CGIAR’s Mandate. CCAFS is a programme of the Consultative Group on International Agricultural Research (CGIAR). [Publication: </w:t>
      </w:r>
      <w:hyperlink r:id="rId16" w:tgtFrame="_blank" w:history="1">
        <w:r w:rsidRPr="0089666C">
          <w:rPr>
            <w:rStyle w:val="Hyperlink"/>
            <w:rFonts w:ascii="Tahoma" w:hAnsi="Tahoma" w:cs="Tahoma"/>
            <w:sz w:val="20"/>
            <w:szCs w:val="20"/>
          </w:rPr>
          <w:t>Recalibrating Food Production in the Developing World: Global Warming Will Challenge More Than Just the Climate</w:t>
        </w:r>
      </w:hyperlink>
      <w:r w:rsidRPr="0089666C">
        <w:rPr>
          <w:rFonts w:ascii="Tahoma" w:hAnsi="Tahoma" w:cs="Tahoma"/>
          <w:sz w:val="20"/>
          <w:szCs w:val="20"/>
        </w:rPr>
        <w:t>] [</w:t>
      </w:r>
      <w:hyperlink r:id="rId17" w:tgtFrame="_blank" w:history="1">
        <w:r w:rsidRPr="0089666C">
          <w:rPr>
            <w:rStyle w:val="Hyperlink"/>
            <w:rFonts w:ascii="Tahoma" w:hAnsi="Tahoma" w:cs="Tahoma"/>
            <w:sz w:val="20"/>
            <w:szCs w:val="20"/>
          </w:rPr>
          <w:t>IISD RS Story on the CCAFS Report on the Impacts of Climate Change on the Agricultural and Aquatic Systems</w:t>
        </w:r>
      </w:hyperlink>
      <w:r w:rsidRPr="0089666C">
        <w:rPr>
          <w:rFonts w:ascii="Tahoma" w:hAnsi="Tahoma" w:cs="Tahoma"/>
          <w:sz w:val="20"/>
          <w:szCs w:val="20"/>
        </w:rPr>
        <w:t>]</w:t>
      </w:r>
    </w:p>
    <w:p w:rsidR="00031CE0" w:rsidRPr="00031CE0" w:rsidRDefault="00031CE0" w:rsidP="00031CE0">
      <w:pPr>
        <w:pStyle w:val="NormalWeb"/>
        <w:spacing w:before="0" w:beforeAutospacing="0" w:after="0" w:afterAutospacing="0"/>
        <w:rPr>
          <w:rStyle w:val="Strong"/>
          <w:rFonts w:ascii="Tahoma" w:hAnsi="Tahoma" w:cs="Tahoma"/>
          <w:color w:val="4F6228" w:themeColor="accent3" w:themeShade="80"/>
          <w:sz w:val="28"/>
          <w:szCs w:val="20"/>
        </w:rPr>
      </w:pPr>
      <w:bookmarkStart w:id="6" w:name="REDDPoliticsintheMediaACaseStudyfromPNG"/>
      <w:r w:rsidRPr="00031CE0">
        <w:rPr>
          <w:rStyle w:val="Strong"/>
          <w:rFonts w:ascii="Tahoma" w:hAnsi="Tahoma" w:cs="Tahoma"/>
          <w:color w:val="4F6228" w:themeColor="accent3" w:themeShade="80"/>
          <w:sz w:val="28"/>
          <w:szCs w:val="20"/>
        </w:rPr>
        <w:t>REDD+ Politics in the Media: A Case Study from Papua New Guinea</w:t>
      </w:r>
    </w:p>
    <w:bookmarkEnd w:id="6"/>
    <w:p w:rsidR="00031CE0" w:rsidRDefault="00031CE0" w:rsidP="00031CE0">
      <w:pPr>
        <w:pStyle w:val="NormalWeb"/>
        <w:spacing w:before="0" w:beforeAutospacing="0" w:after="0" w:afterAutospacing="0"/>
        <w:rPr>
          <w:rStyle w:val="Emphasis"/>
          <w:rFonts w:ascii="Tahoma" w:hAnsi="Tahoma" w:cs="Tahoma"/>
          <w:color w:val="1A171B"/>
          <w:sz w:val="20"/>
          <w:szCs w:val="20"/>
        </w:rPr>
      </w:pPr>
      <w:r w:rsidRPr="00031CE0">
        <w:rPr>
          <w:rStyle w:val="Emphasis"/>
          <w:rFonts w:ascii="Tahoma" w:hAnsi="Tahoma" w:cs="Tahoma"/>
          <w:color w:val="1A171B"/>
          <w:sz w:val="20"/>
          <w:szCs w:val="20"/>
        </w:rPr>
        <w:t>CIFOR, October 2012</w:t>
      </w:r>
    </w:p>
    <w:p w:rsidR="00031CE0" w:rsidRPr="00031CE0" w:rsidRDefault="00031CE0" w:rsidP="00031CE0">
      <w:pPr>
        <w:pStyle w:val="NormalWeb"/>
        <w:spacing w:before="0" w:beforeAutospacing="0" w:after="0" w:afterAutospacing="0"/>
        <w:rPr>
          <w:rFonts w:ascii="Tahoma" w:hAnsi="Tahoma" w:cs="Tahoma"/>
          <w:color w:val="1A171B"/>
          <w:sz w:val="20"/>
          <w:szCs w:val="20"/>
        </w:rPr>
      </w:pPr>
    </w:p>
    <w:tbl>
      <w:tblPr>
        <w:tblW w:w="0" w:type="auto"/>
        <w:tblCellSpacing w:w="0" w:type="dxa"/>
        <w:tblCellMar>
          <w:left w:w="0" w:type="dxa"/>
          <w:right w:w="0" w:type="dxa"/>
        </w:tblCellMar>
        <w:tblLook w:val="04A0"/>
      </w:tblPr>
      <w:tblGrid>
        <w:gridCol w:w="6375"/>
        <w:gridCol w:w="2625"/>
      </w:tblGrid>
      <w:tr w:rsidR="00031CE0" w:rsidRPr="00031CE0" w:rsidTr="00031CE0">
        <w:trPr>
          <w:tblCellSpacing w:w="0" w:type="dxa"/>
        </w:trPr>
        <w:tc>
          <w:tcPr>
            <w:tcW w:w="6375" w:type="dxa"/>
            <w:hideMark/>
          </w:tcPr>
          <w:p w:rsidR="00031CE0" w:rsidRPr="00031CE0" w:rsidRDefault="00031CE0">
            <w:pPr>
              <w:pStyle w:val="NormalWeb"/>
              <w:spacing w:before="0" w:beforeAutospacing="0" w:after="0" w:afterAutospacing="0"/>
              <w:rPr>
                <w:rFonts w:ascii="Tahoma" w:hAnsi="Tahoma" w:cs="Tahoma"/>
                <w:color w:val="1A171B"/>
                <w:sz w:val="20"/>
                <w:szCs w:val="20"/>
              </w:rPr>
            </w:pPr>
            <w:r w:rsidRPr="00031CE0">
              <w:rPr>
                <w:rFonts w:ascii="Tahoma" w:hAnsi="Tahoma" w:cs="Tahoma"/>
                <w:color w:val="1A171B"/>
                <w:sz w:val="20"/>
                <w:szCs w:val="20"/>
              </w:rPr>
              <w:t>The analysis reveals that national government actors were the dominant voices in the REDD+ debate in Papua New Guinea, although international and domestic environmental NGOs, as well as research institutes were also particularly prominent. What was missing, however, were the voices and opinions of local people and communities who own the vast majority of PNG’s forests and are vital for effective, efficient and equitable REDD+ outcomes.</w:t>
            </w:r>
          </w:p>
        </w:tc>
        <w:tc>
          <w:tcPr>
            <w:tcW w:w="2625" w:type="dxa"/>
            <w:hideMark/>
          </w:tcPr>
          <w:p w:rsidR="00031CE0" w:rsidRPr="00031CE0" w:rsidRDefault="008645BB">
            <w:pPr>
              <w:shd w:val="clear" w:color="auto" w:fill="DBE0D2"/>
              <w:jc w:val="center"/>
              <w:rPr>
                <w:rFonts w:ascii="Tahoma" w:eastAsia="Times New Roman" w:hAnsi="Tahoma" w:cs="Tahoma"/>
                <w:b/>
                <w:bCs/>
                <w:color w:val="235D04"/>
                <w:sz w:val="20"/>
                <w:szCs w:val="20"/>
              </w:rPr>
            </w:pPr>
            <w:hyperlink r:id="rId18" w:tgtFrame="_blank" w:history="1">
              <w:r w:rsidR="00031CE0" w:rsidRPr="00031CE0">
                <w:rPr>
                  <w:rStyle w:val="Hyperlink"/>
                  <w:rFonts w:ascii="Tahoma" w:hAnsi="Tahoma" w:cs="Tahoma"/>
                  <w:b/>
                  <w:bCs/>
                  <w:color w:val="235D04"/>
                  <w:sz w:val="20"/>
                  <w:szCs w:val="20"/>
                </w:rPr>
                <w:t>FULL PUBLICATION</w:t>
              </w:r>
            </w:hyperlink>
          </w:p>
          <w:p w:rsidR="00031CE0" w:rsidRPr="00031CE0" w:rsidRDefault="008645BB">
            <w:pPr>
              <w:shd w:val="clear" w:color="auto" w:fill="DBE0D2"/>
              <w:jc w:val="center"/>
              <w:rPr>
                <w:rFonts w:ascii="Tahoma" w:eastAsia="Times New Roman" w:hAnsi="Tahoma" w:cs="Tahoma"/>
                <w:b/>
                <w:bCs/>
                <w:color w:val="235D04"/>
                <w:sz w:val="20"/>
                <w:szCs w:val="20"/>
              </w:rPr>
            </w:pPr>
            <w:hyperlink w:anchor="toc" w:history="1">
              <w:r w:rsidR="00031CE0" w:rsidRPr="00031CE0">
                <w:rPr>
                  <w:rStyle w:val="Hyperlink"/>
                  <w:rFonts w:ascii="Tahoma" w:hAnsi="Tahoma" w:cs="Tahoma"/>
                  <w:b/>
                  <w:bCs/>
                  <w:color w:val="235D04"/>
                  <w:sz w:val="20"/>
                  <w:szCs w:val="20"/>
                </w:rPr>
                <w:t>BACK TO CONTENTS</w:t>
              </w:r>
            </w:hyperlink>
          </w:p>
        </w:tc>
      </w:tr>
    </w:tbl>
    <w:p w:rsidR="00D5584A" w:rsidRPr="00D44B40" w:rsidRDefault="00D5584A" w:rsidP="00D5584A">
      <w:pPr>
        <w:pStyle w:val="NoSpacing"/>
        <w:rPr>
          <w:rFonts w:ascii="Tahoma" w:hAnsi="Tahoma" w:cs="Tahoma"/>
          <w:b/>
          <w:color w:val="4F6228"/>
          <w:szCs w:val="22"/>
        </w:rPr>
      </w:pPr>
    </w:p>
    <w:p w:rsidR="00D44B40" w:rsidRDefault="00D44B40" w:rsidP="00D5584A">
      <w:pPr>
        <w:pStyle w:val="NoSpacing"/>
        <w:rPr>
          <w:rFonts w:ascii="Tahoma" w:hAnsi="Tahoma" w:cs="Tahoma"/>
          <w:b/>
          <w:color w:val="4F6228"/>
          <w:sz w:val="28"/>
          <w:szCs w:val="22"/>
        </w:rPr>
      </w:pPr>
      <w:bookmarkStart w:id="7" w:name="DefiningREDDSuccess"/>
      <w:r>
        <w:rPr>
          <w:b/>
          <w:bCs/>
          <w:noProof/>
          <w:color w:val="804040"/>
          <w:sz w:val="27"/>
          <w:szCs w:val="27"/>
          <w:lang w:val="en-US"/>
        </w:rPr>
        <w:lastRenderedPageBreak/>
        <w:drawing>
          <wp:inline distT="0" distB="0" distL="0" distR="0">
            <wp:extent cx="5731510" cy="2204427"/>
            <wp:effectExtent l="19050" t="0" r="2540" b="0"/>
            <wp:docPr id="1" name="Picture 9" descr="http://www.iisd.org/images/eblast_header_redd_abs.jp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isd.org/images/eblast_header_redd_abs.jpg"/>
                    <pic:cNvPicPr>
                      <a:picLocks noChangeAspect="1" noChangeArrowheads="1"/>
                    </pic:cNvPicPr>
                  </pic:nvPicPr>
                  <pic:blipFill>
                    <a:blip r:embed="rId20" r:link="rId21" cstate="print"/>
                    <a:srcRect/>
                    <a:stretch>
                      <a:fillRect/>
                    </a:stretch>
                  </pic:blipFill>
                  <pic:spPr bwMode="auto">
                    <a:xfrm>
                      <a:off x="0" y="0"/>
                      <a:ext cx="5731510" cy="2204427"/>
                    </a:xfrm>
                    <a:prstGeom prst="rect">
                      <a:avLst/>
                    </a:prstGeom>
                    <a:noFill/>
                    <a:ln w="9525">
                      <a:noFill/>
                      <a:miter lim="800000"/>
                      <a:headEnd/>
                      <a:tailEnd/>
                    </a:ln>
                  </pic:spPr>
                </pic:pic>
              </a:graphicData>
            </a:graphic>
          </wp:inline>
        </w:drawing>
      </w:r>
      <w:bookmarkEnd w:id="7"/>
    </w:p>
    <w:tbl>
      <w:tblPr>
        <w:tblW w:w="9750" w:type="dxa"/>
        <w:tblCellSpacing w:w="0" w:type="dxa"/>
        <w:tblCellMar>
          <w:left w:w="0" w:type="dxa"/>
          <w:right w:w="0" w:type="dxa"/>
        </w:tblCellMar>
        <w:tblLook w:val="04A0"/>
      </w:tblPr>
      <w:tblGrid>
        <w:gridCol w:w="9750"/>
      </w:tblGrid>
      <w:tr w:rsidR="00D44B40" w:rsidRPr="00D44B40" w:rsidTr="00D44B40">
        <w:trPr>
          <w:tblCellSpacing w:w="0" w:type="dxa"/>
        </w:trPr>
        <w:tc>
          <w:tcPr>
            <w:tcW w:w="5000" w:type="pct"/>
            <w:shd w:val="clear" w:color="auto" w:fill="D5DFB4"/>
            <w:tcMar>
              <w:top w:w="150" w:type="dxa"/>
              <w:left w:w="150" w:type="dxa"/>
              <w:bottom w:w="150" w:type="dxa"/>
              <w:right w:w="150" w:type="dxa"/>
            </w:tcMar>
            <w:hideMark/>
          </w:tcPr>
          <w:p w:rsidR="00D44B40" w:rsidRPr="00D44B40" w:rsidRDefault="00D44B40">
            <w:pPr>
              <w:pStyle w:val="NormalWeb"/>
              <w:rPr>
                <w:rFonts w:ascii="Tahoma" w:eastAsiaTheme="minorHAnsi" w:hAnsi="Tahoma" w:cs="Tahoma"/>
                <w:color w:val="000000"/>
                <w:sz w:val="20"/>
                <w:szCs w:val="20"/>
              </w:rPr>
            </w:pPr>
            <w:r w:rsidRPr="00D44B40">
              <w:rPr>
                <w:rFonts w:ascii="Tahoma" w:hAnsi="Tahoma" w:cs="Tahoma"/>
                <w:color w:val="000000"/>
                <w:sz w:val="20"/>
                <w:szCs w:val="20"/>
              </w:rPr>
              <w:t>REDD+ is a highly technical and rapidly evolving subject with significant promise to produce multiple mitigation and sustainable development benefits. But there are uncertainties as to how REDD+ will evolve under the international climate regime, and a need to build the capacity of a variety of actors to engage in the development and implementation of REDD+ strategies.</w:t>
            </w:r>
          </w:p>
          <w:p w:rsidR="00D44B40" w:rsidRPr="00D44B40" w:rsidRDefault="00D44B40">
            <w:pPr>
              <w:pStyle w:val="NormalWeb"/>
              <w:rPr>
                <w:rFonts w:ascii="Tahoma" w:hAnsi="Tahoma" w:cs="Tahoma"/>
                <w:color w:val="000000"/>
                <w:sz w:val="20"/>
                <w:szCs w:val="20"/>
              </w:rPr>
            </w:pPr>
            <w:r w:rsidRPr="00D44B40">
              <w:rPr>
                <w:rFonts w:ascii="Tahoma" w:hAnsi="Tahoma" w:cs="Tahoma"/>
                <w:color w:val="000000"/>
                <w:sz w:val="20"/>
                <w:szCs w:val="20"/>
              </w:rPr>
              <w:t>For the past three years, IISD has partnered with the ASB Partnership for the Tropical Forest Margins at the World Agroforestry Centre to deliver a project aimed at addressing these challenges through information sharing and research to encourage innovative thinking and the continuous improvement of REDD+ processes and strategies. The project engaged over 300 developing country experts who identified topics of importance and inputted into the policy research process. The final year of the project focused on two critical determinants of REDD+ success, namely:</w:t>
            </w:r>
          </w:p>
          <w:p w:rsidR="00D44B40" w:rsidRPr="00D44B40" w:rsidRDefault="00D44B40" w:rsidP="00D44B40">
            <w:pPr>
              <w:pStyle w:val="NormalWeb"/>
              <w:numPr>
                <w:ilvl w:val="0"/>
                <w:numId w:val="7"/>
              </w:numPr>
              <w:ind w:left="480"/>
              <w:rPr>
                <w:rFonts w:ascii="Tahoma" w:hAnsi="Tahoma" w:cs="Tahoma"/>
                <w:color w:val="000000"/>
                <w:sz w:val="20"/>
                <w:szCs w:val="20"/>
              </w:rPr>
            </w:pPr>
            <w:r w:rsidRPr="00D44B40">
              <w:rPr>
                <w:rStyle w:val="Strong"/>
                <w:rFonts w:ascii="Tahoma" w:hAnsi="Tahoma" w:cs="Tahoma"/>
                <w:color w:val="000000"/>
                <w:sz w:val="20"/>
                <w:szCs w:val="20"/>
              </w:rPr>
              <w:t>Developing and implementing REDD+ safeguard information systems (SIS)</w:t>
            </w:r>
          </w:p>
          <w:p w:rsidR="00D44B40" w:rsidRPr="00D44B40" w:rsidRDefault="00D44B40" w:rsidP="00D44B40">
            <w:pPr>
              <w:pStyle w:val="NormalWeb"/>
              <w:numPr>
                <w:ilvl w:val="0"/>
                <w:numId w:val="7"/>
              </w:numPr>
              <w:ind w:left="480"/>
              <w:rPr>
                <w:rFonts w:ascii="Tahoma" w:hAnsi="Tahoma" w:cs="Tahoma"/>
                <w:color w:val="000000"/>
                <w:sz w:val="20"/>
                <w:szCs w:val="20"/>
              </w:rPr>
            </w:pPr>
            <w:r w:rsidRPr="00D44B40">
              <w:rPr>
                <w:rStyle w:val="Strong"/>
                <w:rFonts w:ascii="Tahoma" w:hAnsi="Tahoma" w:cs="Tahoma"/>
                <w:color w:val="000000"/>
                <w:sz w:val="20"/>
                <w:szCs w:val="20"/>
              </w:rPr>
              <w:t>Fostering effective private sector engagement in the REDD+ supply chain</w:t>
            </w:r>
          </w:p>
          <w:p w:rsidR="00D44B40" w:rsidRPr="00D44B40" w:rsidRDefault="00D44B40">
            <w:pPr>
              <w:pStyle w:val="NormalWeb"/>
              <w:rPr>
                <w:rFonts w:ascii="Tahoma" w:hAnsi="Tahoma" w:cs="Tahoma"/>
                <w:color w:val="000000"/>
                <w:sz w:val="20"/>
                <w:szCs w:val="20"/>
              </w:rPr>
            </w:pPr>
            <w:r w:rsidRPr="00D44B40">
              <w:rPr>
                <w:rStyle w:val="Strong"/>
                <w:rFonts w:ascii="Tahoma" w:hAnsi="Tahoma" w:cs="Tahoma"/>
                <w:color w:val="000000"/>
                <w:sz w:val="20"/>
                <w:szCs w:val="20"/>
              </w:rPr>
              <w:t>Ahead of COP 18, IISD and ASB-ICRAF has released a</w:t>
            </w:r>
            <w:r w:rsidRPr="00D44B40">
              <w:rPr>
                <w:rStyle w:val="apple-converted-space"/>
                <w:rFonts w:ascii="Tahoma" w:hAnsi="Tahoma" w:cs="Tahoma"/>
                <w:b/>
                <w:bCs/>
                <w:color w:val="000000"/>
                <w:sz w:val="20"/>
                <w:szCs w:val="20"/>
              </w:rPr>
              <w:t> </w:t>
            </w:r>
            <w:hyperlink r:id="rId22" w:history="1">
              <w:r w:rsidRPr="00D44B40">
                <w:rPr>
                  <w:rStyle w:val="Hyperlink"/>
                  <w:rFonts w:ascii="Tahoma" w:hAnsi="Tahoma" w:cs="Tahoma"/>
                  <w:b/>
                  <w:bCs/>
                  <w:color w:val="804040"/>
                  <w:sz w:val="20"/>
                  <w:szCs w:val="20"/>
                </w:rPr>
                <w:t>series of publications</w:t>
              </w:r>
            </w:hyperlink>
            <w:r w:rsidRPr="00D44B40">
              <w:rPr>
                <w:rStyle w:val="apple-converted-space"/>
                <w:rFonts w:ascii="Tahoma" w:hAnsi="Tahoma" w:cs="Tahoma"/>
                <w:b/>
                <w:bCs/>
                <w:color w:val="000000"/>
                <w:sz w:val="20"/>
                <w:szCs w:val="20"/>
              </w:rPr>
              <w:t> </w:t>
            </w:r>
            <w:r w:rsidRPr="00D44B40">
              <w:rPr>
                <w:rStyle w:val="Strong"/>
                <w:rFonts w:ascii="Tahoma" w:hAnsi="Tahoma" w:cs="Tahoma"/>
                <w:color w:val="000000"/>
                <w:sz w:val="20"/>
                <w:szCs w:val="20"/>
              </w:rPr>
              <w:t>to further explore these critical issue areas.</w:t>
            </w:r>
            <w:r w:rsidRPr="00D44B40">
              <w:rPr>
                <w:rStyle w:val="apple-converted-space"/>
                <w:rFonts w:ascii="Tahoma" w:hAnsi="Tahoma" w:cs="Tahoma"/>
                <w:color w:val="000000"/>
                <w:sz w:val="20"/>
                <w:szCs w:val="20"/>
              </w:rPr>
              <w:t> </w:t>
            </w:r>
            <w:r w:rsidRPr="00D44B40">
              <w:rPr>
                <w:rFonts w:ascii="Tahoma" w:hAnsi="Tahoma" w:cs="Tahoma"/>
                <w:color w:val="000000"/>
                <w:sz w:val="20"/>
                <w:szCs w:val="20"/>
              </w:rPr>
              <w:t>The publications are the result of substantive research that included an extensive desk study, in-country semi-structured interviews with REDD+ experts and practitioners, and regional expert meetings.</w:t>
            </w:r>
          </w:p>
          <w:p w:rsidR="00D44B40" w:rsidRPr="00D44B40" w:rsidRDefault="00D44B40">
            <w:pPr>
              <w:pStyle w:val="Heading3"/>
              <w:rPr>
                <w:rFonts w:ascii="Tahoma" w:eastAsia="Times New Roman" w:hAnsi="Tahoma" w:cs="Tahoma"/>
                <w:color w:val="000000"/>
                <w:sz w:val="20"/>
                <w:szCs w:val="20"/>
              </w:rPr>
            </w:pPr>
            <w:r w:rsidRPr="00D44B40">
              <w:rPr>
                <w:rFonts w:ascii="Tahoma" w:eastAsia="Times New Roman" w:hAnsi="Tahoma" w:cs="Tahoma"/>
                <w:color w:val="000000"/>
                <w:sz w:val="20"/>
                <w:szCs w:val="20"/>
              </w:rPr>
              <w:t>Designing Effective REDD+ Safeguard Information Systems: Building on existing systems and country experiences</w:t>
            </w:r>
          </w:p>
          <w:p w:rsidR="00D44B40" w:rsidRPr="00D44B40" w:rsidRDefault="00D44B40">
            <w:pPr>
              <w:pStyle w:val="NormalWeb"/>
              <w:rPr>
                <w:rFonts w:ascii="Tahoma" w:eastAsiaTheme="minorHAnsi" w:hAnsi="Tahoma" w:cs="Tahoma"/>
                <w:color w:val="000000"/>
                <w:sz w:val="20"/>
                <w:szCs w:val="20"/>
              </w:rPr>
            </w:pPr>
            <w:r w:rsidRPr="00D44B40">
              <w:rPr>
                <w:rFonts w:ascii="Tahoma" w:hAnsi="Tahoma" w:cs="Tahoma"/>
                <w:color w:val="000000"/>
                <w:sz w:val="20"/>
                <w:szCs w:val="20"/>
              </w:rPr>
              <w:t>A key determinant of REDD+ success will be the continued development and implementation of safeguards. An important element of REDD+ safeguards is systems for providing information on how safeguards are addressed and respected. Effective systems to share information will help promote transparency, guard against unintended social and environmental harms, and provide information on the impact of REDD+ actions. Using the Durban guidance on safeguards as a starting point, the research examined:</w:t>
            </w:r>
          </w:p>
          <w:p w:rsidR="00D44B40" w:rsidRPr="00D44B40" w:rsidRDefault="00D44B40" w:rsidP="00D44B40">
            <w:pPr>
              <w:pStyle w:val="NormalWeb"/>
              <w:numPr>
                <w:ilvl w:val="0"/>
                <w:numId w:val="8"/>
              </w:numPr>
              <w:ind w:left="480"/>
              <w:rPr>
                <w:rFonts w:ascii="Tahoma" w:hAnsi="Tahoma" w:cs="Tahoma"/>
                <w:color w:val="000000"/>
                <w:sz w:val="20"/>
                <w:szCs w:val="20"/>
              </w:rPr>
            </w:pPr>
            <w:r w:rsidRPr="00D44B40">
              <w:rPr>
                <w:rFonts w:ascii="Tahoma" w:hAnsi="Tahoma" w:cs="Tahoma"/>
                <w:color w:val="000000"/>
                <w:sz w:val="20"/>
                <w:szCs w:val="20"/>
              </w:rPr>
              <w:t>Information collected through eight existing systems that could feed into reporting on REDD+ safeguards.</w:t>
            </w:r>
          </w:p>
          <w:p w:rsidR="00D44B40" w:rsidRPr="00D44B40" w:rsidRDefault="00D44B40" w:rsidP="00D44B40">
            <w:pPr>
              <w:pStyle w:val="NormalWeb"/>
              <w:numPr>
                <w:ilvl w:val="0"/>
                <w:numId w:val="8"/>
              </w:numPr>
              <w:ind w:left="480"/>
              <w:rPr>
                <w:rFonts w:ascii="Tahoma" w:hAnsi="Tahoma" w:cs="Tahoma"/>
                <w:color w:val="000000"/>
                <w:sz w:val="20"/>
                <w:szCs w:val="20"/>
              </w:rPr>
            </w:pPr>
            <w:r w:rsidRPr="00D44B40">
              <w:rPr>
                <w:rFonts w:ascii="Tahoma" w:hAnsi="Tahoma" w:cs="Tahoma"/>
                <w:color w:val="000000"/>
                <w:sz w:val="20"/>
                <w:szCs w:val="20"/>
              </w:rPr>
              <w:t>How the existing systems ensure transparency, consistency, accessibility, flexibility, country-driven processes and the lessons for a REDD+ SIS.</w:t>
            </w:r>
          </w:p>
          <w:p w:rsidR="00D44B40" w:rsidRPr="00D44B40" w:rsidRDefault="00D44B40" w:rsidP="00D44B40">
            <w:pPr>
              <w:pStyle w:val="NormalWeb"/>
              <w:numPr>
                <w:ilvl w:val="0"/>
                <w:numId w:val="8"/>
              </w:numPr>
              <w:ind w:left="480"/>
              <w:rPr>
                <w:rFonts w:ascii="Tahoma" w:hAnsi="Tahoma" w:cs="Tahoma"/>
                <w:color w:val="000000"/>
                <w:sz w:val="20"/>
                <w:szCs w:val="20"/>
              </w:rPr>
            </w:pPr>
            <w:r w:rsidRPr="00D44B40">
              <w:rPr>
                <w:rFonts w:ascii="Tahoma" w:hAnsi="Tahoma" w:cs="Tahoma"/>
                <w:color w:val="000000"/>
                <w:sz w:val="20"/>
                <w:szCs w:val="20"/>
              </w:rPr>
              <w:t>Early action in five countries—Ethiopia, Indonesia, the Philippines, Tanzania and Vietnam—to provide lessons and insights for the further development of REDD+ SIS.</w:t>
            </w:r>
          </w:p>
          <w:p w:rsidR="00D44B40" w:rsidRPr="00D44B40" w:rsidRDefault="00D44B40">
            <w:pPr>
              <w:pStyle w:val="NormalWeb"/>
              <w:rPr>
                <w:rFonts w:ascii="Tahoma" w:hAnsi="Tahoma" w:cs="Tahoma"/>
                <w:color w:val="000000"/>
                <w:sz w:val="20"/>
                <w:szCs w:val="20"/>
              </w:rPr>
            </w:pPr>
            <w:r w:rsidRPr="00D44B40">
              <w:rPr>
                <w:rFonts w:ascii="Tahoma" w:hAnsi="Tahoma" w:cs="Tahoma"/>
                <w:color w:val="000000"/>
                <w:sz w:val="20"/>
                <w:szCs w:val="20"/>
              </w:rPr>
              <w:t xml:space="preserve">In exploring these key areas, this research aims to contribute to </w:t>
            </w:r>
            <w:proofErr w:type="gramStart"/>
            <w:r w:rsidRPr="00D44B40">
              <w:rPr>
                <w:rFonts w:ascii="Tahoma" w:hAnsi="Tahoma" w:cs="Tahoma"/>
                <w:color w:val="000000"/>
                <w:sz w:val="20"/>
                <w:szCs w:val="20"/>
              </w:rPr>
              <w:t>improved</w:t>
            </w:r>
            <w:proofErr w:type="gramEnd"/>
            <w:r w:rsidRPr="00D44B40">
              <w:rPr>
                <w:rFonts w:ascii="Tahoma" w:hAnsi="Tahoma" w:cs="Tahoma"/>
                <w:color w:val="000000"/>
                <w:sz w:val="20"/>
                <w:szCs w:val="20"/>
              </w:rPr>
              <w:t xml:space="preserve"> REDD+ SIS by identifying how REDD+ practitioners can build on existing systems and learn from early action. The research concludes that systems for providing information on how safeguards are addressed and respected do not necessarily </w:t>
            </w:r>
            <w:r w:rsidRPr="00D44B40">
              <w:rPr>
                <w:rFonts w:ascii="Tahoma" w:hAnsi="Tahoma" w:cs="Tahoma"/>
                <w:color w:val="000000"/>
                <w:sz w:val="20"/>
                <w:szCs w:val="20"/>
              </w:rPr>
              <w:lastRenderedPageBreak/>
              <w:t>require new mechanisms, methodologies or indicators. There are opportunities to build upon existing architectures in many cases.</w:t>
            </w:r>
          </w:p>
          <w:p w:rsidR="00D44B40" w:rsidRPr="00D44B40" w:rsidRDefault="00D44B40">
            <w:pPr>
              <w:pStyle w:val="NormalWeb"/>
              <w:rPr>
                <w:rFonts w:ascii="Tahoma" w:hAnsi="Tahoma" w:cs="Tahoma"/>
                <w:color w:val="000000"/>
                <w:sz w:val="20"/>
                <w:szCs w:val="20"/>
              </w:rPr>
            </w:pPr>
            <w:r w:rsidRPr="00D44B40">
              <w:rPr>
                <w:rStyle w:val="Strong"/>
                <w:rFonts w:ascii="Tahoma" w:hAnsi="Tahoma" w:cs="Tahoma"/>
                <w:color w:val="000000"/>
                <w:sz w:val="20"/>
                <w:szCs w:val="20"/>
              </w:rPr>
              <w:t>Click on the corresponding cover below to download your copy:</w:t>
            </w:r>
          </w:p>
          <w:tbl>
            <w:tblPr>
              <w:tblW w:w="4500" w:type="pct"/>
              <w:tblCellSpacing w:w="15" w:type="dxa"/>
              <w:tblCellMar>
                <w:left w:w="0" w:type="dxa"/>
                <w:right w:w="0" w:type="dxa"/>
              </w:tblCellMar>
              <w:tblLook w:val="04A0"/>
            </w:tblPr>
            <w:tblGrid>
              <w:gridCol w:w="3105"/>
              <w:gridCol w:w="3090"/>
              <w:gridCol w:w="3105"/>
            </w:tblGrid>
            <w:tr w:rsidR="00D44B40" w:rsidRPr="00D44B40">
              <w:trPr>
                <w:tblCellSpacing w:w="15" w:type="dxa"/>
              </w:trPr>
              <w:tc>
                <w:tcPr>
                  <w:tcW w:w="0" w:type="auto"/>
                  <w:tcMar>
                    <w:top w:w="15" w:type="dxa"/>
                    <w:left w:w="15" w:type="dxa"/>
                    <w:bottom w:w="15" w:type="dxa"/>
                    <w:right w:w="15" w:type="dxa"/>
                  </w:tcMar>
                  <w:vAlign w:val="center"/>
                  <w:hideMark/>
                </w:tcPr>
                <w:p w:rsidR="00D44B40" w:rsidRPr="00D44B40" w:rsidRDefault="00D44B40">
                  <w:pPr>
                    <w:rPr>
                      <w:rFonts w:ascii="Tahoma" w:hAnsi="Tahoma" w:cs="Tahoma"/>
                      <w:sz w:val="20"/>
                      <w:szCs w:val="20"/>
                      <w:lang w:val="en-US"/>
                    </w:rPr>
                  </w:pPr>
                  <w:r w:rsidRPr="00D44B40">
                    <w:rPr>
                      <w:rFonts w:ascii="Tahoma" w:hAnsi="Tahoma" w:cs="Tahoma"/>
                      <w:b/>
                      <w:bCs/>
                      <w:noProof/>
                      <w:color w:val="804040"/>
                      <w:sz w:val="20"/>
                      <w:szCs w:val="20"/>
                      <w:lang w:val="en-US"/>
                    </w:rPr>
                    <w:drawing>
                      <wp:inline distT="0" distB="0" distL="0" distR="0">
                        <wp:extent cx="1905000" cy="2466975"/>
                        <wp:effectExtent l="19050" t="0" r="0" b="0"/>
                        <wp:docPr id="4" name="Picture 8" descr="Designing Effective REDD+ Safeguard Information Systems: Building on existing systems and country experiences - Policy Brie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igning Effective REDD+ Safeguard Information Systems: Building on existing systems and country experiences - Policy Brief"/>
                                <pic:cNvPicPr>
                                  <a:picLocks noChangeAspect="1" noChangeArrowheads="1"/>
                                </pic:cNvPicPr>
                              </pic:nvPicPr>
                              <pic:blipFill>
                                <a:blip r:embed="rId24" r:link="rId25" cstate="print"/>
                                <a:srcRect/>
                                <a:stretch>
                                  <a:fillRect/>
                                </a:stretch>
                              </pic:blipFill>
                              <pic:spPr bwMode="auto">
                                <a:xfrm>
                                  <a:off x="0" y="0"/>
                                  <a:ext cx="1905000" cy="24669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D44B40" w:rsidRPr="00D44B40" w:rsidRDefault="00D44B40">
                  <w:pPr>
                    <w:rPr>
                      <w:rFonts w:ascii="Tahoma" w:hAnsi="Tahoma" w:cs="Tahoma"/>
                      <w:sz w:val="20"/>
                      <w:szCs w:val="20"/>
                      <w:lang w:val="en-US"/>
                    </w:rPr>
                  </w:pPr>
                  <w:r w:rsidRPr="00D44B40">
                    <w:rPr>
                      <w:rFonts w:ascii="Tahoma" w:hAnsi="Tahoma" w:cs="Tahoma"/>
                      <w:b/>
                      <w:bCs/>
                      <w:noProof/>
                      <w:color w:val="804040"/>
                      <w:sz w:val="20"/>
                      <w:szCs w:val="20"/>
                      <w:lang w:val="en-US"/>
                    </w:rPr>
                    <w:drawing>
                      <wp:inline distT="0" distB="0" distL="0" distR="0">
                        <wp:extent cx="1905000" cy="2466975"/>
                        <wp:effectExtent l="19050" t="0" r="0" b="0"/>
                        <wp:docPr id="5" name="Picture 7" descr="Designing Effective REDD+ Safeguard Information Systems: Building on existing systems and country experience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igning Effective REDD+ Safeguard Information Systems: Building on existing systems and country experiences"/>
                                <pic:cNvPicPr>
                                  <a:picLocks noChangeAspect="1" noChangeArrowheads="1"/>
                                </pic:cNvPicPr>
                              </pic:nvPicPr>
                              <pic:blipFill>
                                <a:blip r:embed="rId27" r:link="rId28" cstate="print"/>
                                <a:srcRect/>
                                <a:stretch>
                                  <a:fillRect/>
                                </a:stretch>
                              </pic:blipFill>
                              <pic:spPr bwMode="auto">
                                <a:xfrm>
                                  <a:off x="0" y="0"/>
                                  <a:ext cx="1905000" cy="24669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D44B40" w:rsidRPr="00D44B40" w:rsidRDefault="00D44B40">
                  <w:pPr>
                    <w:rPr>
                      <w:rFonts w:ascii="Tahoma" w:hAnsi="Tahoma" w:cs="Tahoma"/>
                      <w:sz w:val="20"/>
                      <w:szCs w:val="20"/>
                      <w:lang w:val="en-US"/>
                    </w:rPr>
                  </w:pPr>
                  <w:r w:rsidRPr="00D44B40">
                    <w:rPr>
                      <w:rFonts w:ascii="Tahoma" w:hAnsi="Tahoma" w:cs="Tahoma"/>
                      <w:b/>
                      <w:bCs/>
                      <w:noProof/>
                      <w:color w:val="804040"/>
                      <w:sz w:val="20"/>
                      <w:szCs w:val="20"/>
                      <w:lang w:val="en-US"/>
                    </w:rPr>
                    <w:drawing>
                      <wp:inline distT="0" distB="0" distL="0" distR="0">
                        <wp:extent cx="1905000" cy="2486025"/>
                        <wp:effectExtent l="19050" t="0" r="0" b="0"/>
                        <wp:docPr id="6" name="Picture 6" descr="Designing Effective REDD+ Safeguard Information Systems: Building on existing systems and country experience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igning Effective REDD+ Safeguard Information Systems: Building on existing systems and country experiences"/>
                                <pic:cNvPicPr>
                                  <a:picLocks noChangeAspect="1" noChangeArrowheads="1"/>
                                </pic:cNvPicPr>
                              </pic:nvPicPr>
                              <pic:blipFill>
                                <a:blip r:embed="rId30" r:link="rId31" cstate="print"/>
                                <a:srcRect/>
                                <a:stretch>
                                  <a:fillRect/>
                                </a:stretch>
                              </pic:blipFill>
                              <pic:spPr bwMode="auto">
                                <a:xfrm>
                                  <a:off x="0" y="0"/>
                                  <a:ext cx="1905000" cy="2486025"/>
                                </a:xfrm>
                                <a:prstGeom prst="rect">
                                  <a:avLst/>
                                </a:prstGeom>
                                <a:noFill/>
                                <a:ln w="9525">
                                  <a:noFill/>
                                  <a:miter lim="800000"/>
                                  <a:headEnd/>
                                  <a:tailEnd/>
                                </a:ln>
                              </pic:spPr>
                            </pic:pic>
                          </a:graphicData>
                        </a:graphic>
                      </wp:inline>
                    </w:drawing>
                  </w:r>
                </w:p>
              </w:tc>
            </w:tr>
          </w:tbl>
          <w:p w:rsidR="00D44B40" w:rsidRPr="00D44B40" w:rsidRDefault="00D44B40">
            <w:pPr>
              <w:pStyle w:val="Heading3"/>
              <w:rPr>
                <w:rFonts w:ascii="Tahoma" w:eastAsia="Times New Roman" w:hAnsi="Tahoma" w:cs="Tahoma"/>
                <w:color w:val="000000"/>
                <w:sz w:val="20"/>
                <w:szCs w:val="20"/>
                <w:lang w:eastAsia="en-AU"/>
              </w:rPr>
            </w:pPr>
            <w:r w:rsidRPr="00D44B40">
              <w:rPr>
                <w:rFonts w:ascii="Tahoma" w:eastAsia="Times New Roman" w:hAnsi="Tahoma" w:cs="Tahoma"/>
                <w:color w:val="000000"/>
                <w:sz w:val="20"/>
                <w:szCs w:val="20"/>
              </w:rPr>
              <w:t>The Private Sector in the REDD+ Supply Chain: Trends, challenges and opportunities</w:t>
            </w:r>
          </w:p>
          <w:p w:rsidR="00D44B40" w:rsidRPr="00D44B40" w:rsidRDefault="00D44B40">
            <w:pPr>
              <w:pStyle w:val="NormalWeb"/>
              <w:rPr>
                <w:rFonts w:ascii="Tahoma" w:eastAsiaTheme="minorHAnsi" w:hAnsi="Tahoma" w:cs="Tahoma"/>
                <w:color w:val="000000"/>
                <w:sz w:val="20"/>
                <w:szCs w:val="20"/>
              </w:rPr>
            </w:pPr>
            <w:r w:rsidRPr="00D44B40">
              <w:rPr>
                <w:rFonts w:ascii="Tahoma" w:hAnsi="Tahoma" w:cs="Tahoma"/>
                <w:color w:val="000000"/>
                <w:sz w:val="20"/>
                <w:szCs w:val="20"/>
              </w:rPr>
              <w:t>Another key determinant of REDD+ success will be ensuring effective private sector engagement. Funding is a major concern in the implementation of REDD+ activities and involving the private sector will be absolutely critical to scale up investment in REDD+. Nevertheless, little has been done to identify who the key private sector players are, the roles they play and the sector’s diversity in terms of scale, expertise, motivations and forms of involvement. The research examined:</w:t>
            </w:r>
          </w:p>
          <w:p w:rsidR="00D44B40" w:rsidRPr="00D44B40" w:rsidRDefault="00D44B40" w:rsidP="00D44B40">
            <w:pPr>
              <w:pStyle w:val="NormalWeb"/>
              <w:numPr>
                <w:ilvl w:val="0"/>
                <w:numId w:val="9"/>
              </w:numPr>
              <w:ind w:left="480"/>
              <w:rPr>
                <w:rFonts w:ascii="Tahoma" w:hAnsi="Tahoma" w:cs="Tahoma"/>
                <w:color w:val="000000"/>
                <w:sz w:val="20"/>
                <w:szCs w:val="20"/>
              </w:rPr>
            </w:pPr>
            <w:r w:rsidRPr="00D44B40">
              <w:rPr>
                <w:rFonts w:ascii="Tahoma" w:hAnsi="Tahoma" w:cs="Tahoma"/>
                <w:color w:val="000000"/>
                <w:sz w:val="20"/>
                <w:szCs w:val="20"/>
              </w:rPr>
              <w:t>In the REDD+ supply chain, who are the private sector players and what are their motivations and types of interventions?</w:t>
            </w:r>
          </w:p>
          <w:p w:rsidR="00D44B40" w:rsidRPr="00D44B40" w:rsidRDefault="00D44B40" w:rsidP="00D44B40">
            <w:pPr>
              <w:pStyle w:val="NormalWeb"/>
              <w:numPr>
                <w:ilvl w:val="0"/>
                <w:numId w:val="9"/>
              </w:numPr>
              <w:ind w:left="480"/>
              <w:rPr>
                <w:rFonts w:ascii="Tahoma" w:hAnsi="Tahoma" w:cs="Tahoma"/>
                <w:color w:val="000000"/>
                <w:sz w:val="20"/>
                <w:szCs w:val="20"/>
              </w:rPr>
            </w:pPr>
            <w:r w:rsidRPr="00D44B40">
              <w:rPr>
                <w:rFonts w:ascii="Tahoma" w:hAnsi="Tahoma" w:cs="Tahoma"/>
                <w:color w:val="000000"/>
                <w:sz w:val="20"/>
                <w:szCs w:val="20"/>
              </w:rPr>
              <w:t>What are the current challenges for private sector engagement in REDD+?</w:t>
            </w:r>
          </w:p>
          <w:p w:rsidR="00D44B40" w:rsidRPr="00D44B40" w:rsidRDefault="00D44B40" w:rsidP="00D44B40">
            <w:pPr>
              <w:pStyle w:val="NormalWeb"/>
              <w:numPr>
                <w:ilvl w:val="0"/>
                <w:numId w:val="9"/>
              </w:numPr>
              <w:ind w:left="480"/>
              <w:rPr>
                <w:rFonts w:ascii="Tahoma" w:hAnsi="Tahoma" w:cs="Tahoma"/>
                <w:color w:val="000000"/>
                <w:sz w:val="20"/>
                <w:szCs w:val="20"/>
              </w:rPr>
            </w:pPr>
            <w:r w:rsidRPr="00D44B40">
              <w:rPr>
                <w:rFonts w:ascii="Tahoma" w:hAnsi="Tahoma" w:cs="Tahoma"/>
                <w:color w:val="000000"/>
                <w:sz w:val="20"/>
                <w:szCs w:val="20"/>
              </w:rPr>
              <w:t>How can private sector engagement in REDD+ be enhanced?</w:t>
            </w:r>
          </w:p>
          <w:p w:rsidR="00D44B40" w:rsidRPr="00D44B40" w:rsidRDefault="00D44B40">
            <w:pPr>
              <w:pStyle w:val="NormalWeb"/>
              <w:rPr>
                <w:rFonts w:ascii="Tahoma" w:hAnsi="Tahoma" w:cs="Tahoma"/>
                <w:color w:val="000000"/>
                <w:sz w:val="20"/>
                <w:szCs w:val="20"/>
              </w:rPr>
            </w:pPr>
            <w:r w:rsidRPr="00D44B40">
              <w:rPr>
                <w:rFonts w:ascii="Tahoma" w:hAnsi="Tahoma" w:cs="Tahoma"/>
                <w:color w:val="000000"/>
                <w:sz w:val="20"/>
                <w:szCs w:val="20"/>
              </w:rPr>
              <w:t>In exploring these key areas, the research aims to increase the scope and scale of effective private sector involvement in REDD+. The research concludes that while challenges exist, private sector involvement can help bridge the financing gap between public sector financing and developing country needs, as well as make vital contributions to REDD+ initiatives by providing technical expertise.</w:t>
            </w:r>
          </w:p>
          <w:p w:rsidR="00D44B40" w:rsidRPr="00D44B40" w:rsidRDefault="00D44B40">
            <w:pPr>
              <w:pStyle w:val="NormalWeb"/>
              <w:rPr>
                <w:rFonts w:ascii="Tahoma" w:hAnsi="Tahoma" w:cs="Tahoma"/>
                <w:color w:val="000000"/>
                <w:sz w:val="20"/>
                <w:szCs w:val="20"/>
              </w:rPr>
            </w:pPr>
            <w:r w:rsidRPr="00D44B40">
              <w:rPr>
                <w:rStyle w:val="Strong"/>
                <w:rFonts w:ascii="Tahoma" w:hAnsi="Tahoma" w:cs="Tahoma"/>
                <w:color w:val="000000"/>
                <w:sz w:val="20"/>
                <w:szCs w:val="20"/>
              </w:rPr>
              <w:t>Click on the corresponding cover below to download your copy:</w:t>
            </w:r>
          </w:p>
          <w:tbl>
            <w:tblPr>
              <w:tblW w:w="4500" w:type="pct"/>
              <w:tblCellSpacing w:w="15" w:type="dxa"/>
              <w:tblCellMar>
                <w:left w:w="0" w:type="dxa"/>
                <w:right w:w="0" w:type="dxa"/>
              </w:tblCellMar>
              <w:tblLook w:val="04A0"/>
            </w:tblPr>
            <w:tblGrid>
              <w:gridCol w:w="3105"/>
              <w:gridCol w:w="3090"/>
              <w:gridCol w:w="3105"/>
            </w:tblGrid>
            <w:tr w:rsidR="00D44B40" w:rsidRPr="00D44B40">
              <w:trPr>
                <w:tblCellSpacing w:w="15" w:type="dxa"/>
              </w:trPr>
              <w:tc>
                <w:tcPr>
                  <w:tcW w:w="0" w:type="auto"/>
                  <w:tcMar>
                    <w:top w:w="15" w:type="dxa"/>
                    <w:left w:w="15" w:type="dxa"/>
                    <w:bottom w:w="15" w:type="dxa"/>
                    <w:right w:w="15" w:type="dxa"/>
                  </w:tcMar>
                  <w:vAlign w:val="center"/>
                  <w:hideMark/>
                </w:tcPr>
                <w:p w:rsidR="00D44B40" w:rsidRPr="00D44B40" w:rsidRDefault="00D44B40">
                  <w:pPr>
                    <w:rPr>
                      <w:rFonts w:ascii="Tahoma" w:hAnsi="Tahoma" w:cs="Tahoma"/>
                      <w:sz w:val="20"/>
                      <w:szCs w:val="20"/>
                      <w:lang w:val="en-US"/>
                    </w:rPr>
                  </w:pPr>
                  <w:r w:rsidRPr="00D44B40">
                    <w:rPr>
                      <w:rFonts w:ascii="Tahoma" w:hAnsi="Tahoma" w:cs="Tahoma"/>
                      <w:b/>
                      <w:bCs/>
                      <w:noProof/>
                      <w:color w:val="804040"/>
                      <w:sz w:val="20"/>
                      <w:szCs w:val="20"/>
                      <w:lang w:val="en-US"/>
                    </w:rPr>
                    <w:lastRenderedPageBreak/>
                    <w:drawing>
                      <wp:inline distT="0" distB="0" distL="0" distR="0">
                        <wp:extent cx="1905000" cy="2466975"/>
                        <wp:effectExtent l="19050" t="0" r="0" b="0"/>
                        <wp:docPr id="7" name="Picture 5" descr="The Private Sector in the REDD+ Supply Chain: Trends, challenges and opportunities (Policy Brie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Private Sector in the REDD+ Supply Chain: Trends, challenges and opportunities (Policy Brief)"/>
                                <pic:cNvPicPr>
                                  <a:picLocks noChangeAspect="1" noChangeArrowheads="1"/>
                                </pic:cNvPicPr>
                              </pic:nvPicPr>
                              <pic:blipFill>
                                <a:blip r:embed="rId33" r:link="rId34" cstate="print"/>
                                <a:srcRect/>
                                <a:stretch>
                                  <a:fillRect/>
                                </a:stretch>
                              </pic:blipFill>
                              <pic:spPr bwMode="auto">
                                <a:xfrm>
                                  <a:off x="0" y="0"/>
                                  <a:ext cx="1905000" cy="24669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D44B40" w:rsidRPr="00D44B40" w:rsidRDefault="00D44B40">
                  <w:pPr>
                    <w:rPr>
                      <w:rFonts w:ascii="Tahoma" w:hAnsi="Tahoma" w:cs="Tahoma"/>
                      <w:sz w:val="20"/>
                      <w:szCs w:val="20"/>
                      <w:lang w:val="en-US"/>
                    </w:rPr>
                  </w:pPr>
                  <w:r w:rsidRPr="00D44B40">
                    <w:rPr>
                      <w:rFonts w:ascii="Tahoma" w:hAnsi="Tahoma" w:cs="Tahoma"/>
                      <w:b/>
                      <w:bCs/>
                      <w:noProof/>
                      <w:color w:val="804040"/>
                      <w:sz w:val="20"/>
                      <w:szCs w:val="20"/>
                      <w:lang w:val="en-US"/>
                    </w:rPr>
                    <w:drawing>
                      <wp:inline distT="0" distB="0" distL="0" distR="0">
                        <wp:extent cx="1905000" cy="2466975"/>
                        <wp:effectExtent l="19050" t="0" r="0" b="0"/>
                        <wp:docPr id="8" name="Picture 4" descr="The Private Sector in the REDD+ Supply Chain: Trends, challenges and opportunities (Key Message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Private Sector in the REDD+ Supply Chain: Trends, challenges and opportunities (Key Messages)"/>
                                <pic:cNvPicPr>
                                  <a:picLocks noChangeAspect="1" noChangeArrowheads="1"/>
                                </pic:cNvPicPr>
                              </pic:nvPicPr>
                              <pic:blipFill>
                                <a:blip r:embed="rId36" r:link="rId37" cstate="print"/>
                                <a:srcRect/>
                                <a:stretch>
                                  <a:fillRect/>
                                </a:stretch>
                              </pic:blipFill>
                              <pic:spPr bwMode="auto">
                                <a:xfrm>
                                  <a:off x="0" y="0"/>
                                  <a:ext cx="1905000" cy="2466975"/>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D44B40" w:rsidRPr="00D44B40" w:rsidRDefault="00D44B40">
                  <w:pPr>
                    <w:rPr>
                      <w:rFonts w:ascii="Tahoma" w:hAnsi="Tahoma" w:cs="Tahoma"/>
                      <w:sz w:val="20"/>
                      <w:szCs w:val="20"/>
                      <w:lang w:val="en-US"/>
                    </w:rPr>
                  </w:pPr>
                  <w:r w:rsidRPr="00D44B40">
                    <w:rPr>
                      <w:rFonts w:ascii="Tahoma" w:hAnsi="Tahoma" w:cs="Tahoma"/>
                      <w:b/>
                      <w:bCs/>
                      <w:noProof/>
                      <w:color w:val="804040"/>
                      <w:sz w:val="20"/>
                      <w:szCs w:val="20"/>
                      <w:lang w:val="en-US"/>
                    </w:rPr>
                    <w:drawing>
                      <wp:inline distT="0" distB="0" distL="0" distR="0">
                        <wp:extent cx="1905000" cy="2476500"/>
                        <wp:effectExtent l="19050" t="0" r="0" b="0"/>
                        <wp:docPr id="9" name="Picture 3" descr="The Private Sector in the REDD+ Supply Chain: Trends, challenges and opportunities (Policy Pape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Private Sector in the REDD+ Supply Chain: Trends, challenges and opportunities (Policy Paper)"/>
                                <pic:cNvPicPr>
                                  <a:picLocks noChangeAspect="1" noChangeArrowheads="1"/>
                                </pic:cNvPicPr>
                              </pic:nvPicPr>
                              <pic:blipFill>
                                <a:blip r:embed="rId39" r:link="rId40" cstate="print"/>
                                <a:srcRect/>
                                <a:stretch>
                                  <a:fillRect/>
                                </a:stretch>
                              </pic:blipFill>
                              <pic:spPr bwMode="auto">
                                <a:xfrm>
                                  <a:off x="0" y="0"/>
                                  <a:ext cx="1905000" cy="2476500"/>
                                </a:xfrm>
                                <a:prstGeom prst="rect">
                                  <a:avLst/>
                                </a:prstGeom>
                                <a:noFill/>
                                <a:ln w="9525">
                                  <a:noFill/>
                                  <a:miter lim="800000"/>
                                  <a:headEnd/>
                                  <a:tailEnd/>
                                </a:ln>
                              </pic:spPr>
                            </pic:pic>
                          </a:graphicData>
                        </a:graphic>
                      </wp:inline>
                    </w:drawing>
                  </w:r>
                </w:p>
              </w:tc>
            </w:tr>
          </w:tbl>
          <w:p w:rsidR="00D44B40" w:rsidRPr="00D44B40" w:rsidRDefault="00D44B40">
            <w:pPr>
              <w:pStyle w:val="NormalWeb"/>
              <w:rPr>
                <w:rFonts w:ascii="Tahoma" w:hAnsi="Tahoma" w:cs="Tahoma"/>
                <w:color w:val="000000"/>
                <w:sz w:val="20"/>
                <w:szCs w:val="20"/>
              </w:rPr>
            </w:pPr>
            <w:r w:rsidRPr="00D44B40">
              <w:rPr>
                <w:rStyle w:val="Strong"/>
                <w:rFonts w:ascii="Tahoma" w:hAnsi="Tahoma" w:cs="Tahoma"/>
                <w:color w:val="000000"/>
                <w:sz w:val="20"/>
                <w:szCs w:val="20"/>
              </w:rPr>
              <w:t>The three-year initiative,</w:t>
            </w:r>
            <w:r w:rsidRPr="00D44B40">
              <w:rPr>
                <w:rStyle w:val="apple-converted-space"/>
                <w:rFonts w:ascii="Tahoma" w:hAnsi="Tahoma" w:cs="Tahoma"/>
                <w:color w:val="000000"/>
                <w:sz w:val="20"/>
                <w:szCs w:val="20"/>
              </w:rPr>
              <w:t> </w:t>
            </w:r>
            <w:hyperlink r:id="rId41" w:history="1">
              <w:r w:rsidRPr="00D44B40">
                <w:rPr>
                  <w:rStyle w:val="Strong"/>
                  <w:rFonts w:ascii="Tahoma" w:hAnsi="Tahoma" w:cs="Tahoma"/>
                  <w:color w:val="804040"/>
                  <w:sz w:val="20"/>
                  <w:szCs w:val="20"/>
                </w:rPr>
                <w:t>Building REDD+ Policy Capacity for Developing Country Negotiators and Land Managers</w:t>
              </w:r>
            </w:hyperlink>
            <w:r w:rsidRPr="00D44B40">
              <w:rPr>
                <w:rStyle w:val="Strong"/>
                <w:rFonts w:ascii="Tahoma" w:hAnsi="Tahoma" w:cs="Tahoma"/>
                <w:color w:val="000000"/>
                <w:sz w:val="20"/>
                <w:szCs w:val="20"/>
              </w:rPr>
              <w:t>, was delivered with the generous support of the Norwegian Agency for Development Cooperation (</w:t>
            </w:r>
            <w:proofErr w:type="spellStart"/>
            <w:r w:rsidR="008645BB" w:rsidRPr="00D44B40">
              <w:rPr>
                <w:rFonts w:ascii="Tahoma" w:hAnsi="Tahoma" w:cs="Tahoma"/>
                <w:color w:val="000000"/>
                <w:sz w:val="20"/>
                <w:szCs w:val="20"/>
              </w:rPr>
              <w:fldChar w:fldCharType="begin"/>
            </w:r>
            <w:r w:rsidRPr="00D44B40">
              <w:rPr>
                <w:rFonts w:ascii="Tahoma" w:hAnsi="Tahoma" w:cs="Tahoma"/>
                <w:color w:val="000000"/>
                <w:sz w:val="20"/>
                <w:szCs w:val="20"/>
              </w:rPr>
              <w:instrText xml:space="preserve"> HYPERLINK "http://www.norad.no/en/front-page" </w:instrText>
            </w:r>
            <w:r w:rsidR="008645BB" w:rsidRPr="00D44B40">
              <w:rPr>
                <w:rFonts w:ascii="Tahoma" w:hAnsi="Tahoma" w:cs="Tahoma"/>
                <w:color w:val="000000"/>
                <w:sz w:val="20"/>
                <w:szCs w:val="20"/>
              </w:rPr>
              <w:fldChar w:fldCharType="separate"/>
            </w:r>
            <w:r w:rsidRPr="00D44B40">
              <w:rPr>
                <w:rStyle w:val="Strong"/>
                <w:rFonts w:ascii="Tahoma" w:hAnsi="Tahoma" w:cs="Tahoma"/>
                <w:color w:val="804040"/>
                <w:sz w:val="20"/>
                <w:szCs w:val="20"/>
              </w:rPr>
              <w:t>Norad</w:t>
            </w:r>
            <w:proofErr w:type="spellEnd"/>
            <w:r w:rsidR="008645BB" w:rsidRPr="00D44B40">
              <w:rPr>
                <w:rFonts w:ascii="Tahoma" w:hAnsi="Tahoma" w:cs="Tahoma"/>
                <w:color w:val="000000"/>
                <w:sz w:val="20"/>
                <w:szCs w:val="20"/>
              </w:rPr>
              <w:fldChar w:fldCharType="end"/>
            </w:r>
            <w:r w:rsidRPr="00D44B40">
              <w:rPr>
                <w:rStyle w:val="Strong"/>
                <w:rFonts w:ascii="Tahoma" w:hAnsi="Tahoma" w:cs="Tahoma"/>
                <w:color w:val="000000"/>
                <w:sz w:val="20"/>
                <w:szCs w:val="20"/>
              </w:rPr>
              <w:t>) as part of its Climate and Forest Initiative civil society support program.</w:t>
            </w:r>
          </w:p>
        </w:tc>
      </w:tr>
    </w:tbl>
    <w:p w:rsidR="008651F7" w:rsidRDefault="008651F7" w:rsidP="008651F7">
      <w:pPr>
        <w:pStyle w:val="NormalWeb"/>
        <w:spacing w:before="0" w:beforeAutospacing="0" w:after="0" w:afterAutospacing="0"/>
        <w:rPr>
          <w:rStyle w:val="Strong"/>
          <w:rFonts w:ascii="Arial" w:hAnsi="Arial" w:cs="Arial"/>
          <w:color w:val="1A171B"/>
        </w:rPr>
      </w:pPr>
    </w:p>
    <w:p w:rsidR="008651F7" w:rsidRPr="008651F7" w:rsidRDefault="008651F7" w:rsidP="008651F7">
      <w:pPr>
        <w:pStyle w:val="NormalWeb"/>
        <w:spacing w:before="0" w:beforeAutospacing="0" w:after="0" w:afterAutospacing="0"/>
        <w:rPr>
          <w:rStyle w:val="Strong"/>
          <w:rFonts w:ascii="Tahoma" w:hAnsi="Tahoma" w:cs="Tahoma"/>
          <w:color w:val="4F6228" w:themeColor="accent3" w:themeShade="80"/>
          <w:sz w:val="28"/>
          <w:szCs w:val="20"/>
        </w:rPr>
      </w:pPr>
      <w:bookmarkStart w:id="8" w:name="REDDNetAsiaPacificBulletin6AdaptationFor"/>
      <w:r w:rsidRPr="008651F7">
        <w:rPr>
          <w:rStyle w:val="Strong"/>
          <w:rFonts w:ascii="Tahoma" w:hAnsi="Tahoma" w:cs="Tahoma"/>
          <w:color w:val="4F6228" w:themeColor="accent3" w:themeShade="80"/>
          <w:sz w:val="28"/>
          <w:szCs w:val="20"/>
        </w:rPr>
        <w:t>REDD-Net Asia-Pacific Bulletin #6: Adaptation, Forests and REDD+</w:t>
      </w:r>
    </w:p>
    <w:bookmarkEnd w:id="8"/>
    <w:p w:rsidR="008651F7" w:rsidRPr="008651F7" w:rsidRDefault="008651F7" w:rsidP="008651F7">
      <w:pPr>
        <w:pStyle w:val="NormalWeb"/>
        <w:spacing w:before="0" w:beforeAutospacing="0" w:after="0" w:afterAutospacing="0"/>
        <w:rPr>
          <w:rFonts w:ascii="Tahoma" w:hAnsi="Tahoma" w:cs="Tahoma"/>
          <w:b/>
          <w:bCs/>
          <w:color w:val="1A171B"/>
          <w:sz w:val="20"/>
          <w:szCs w:val="20"/>
        </w:rPr>
      </w:pPr>
    </w:p>
    <w:tbl>
      <w:tblPr>
        <w:tblW w:w="0" w:type="auto"/>
        <w:tblCellSpacing w:w="0" w:type="dxa"/>
        <w:tblCellMar>
          <w:left w:w="0" w:type="dxa"/>
          <w:right w:w="0" w:type="dxa"/>
        </w:tblCellMar>
        <w:tblLook w:val="04A0"/>
      </w:tblPr>
      <w:tblGrid>
        <w:gridCol w:w="6375"/>
        <w:gridCol w:w="2625"/>
      </w:tblGrid>
      <w:tr w:rsidR="008651F7" w:rsidRPr="008651F7" w:rsidTr="008651F7">
        <w:trPr>
          <w:tblCellSpacing w:w="0" w:type="dxa"/>
        </w:trPr>
        <w:tc>
          <w:tcPr>
            <w:tcW w:w="6375" w:type="dxa"/>
            <w:hideMark/>
          </w:tcPr>
          <w:p w:rsidR="008651F7" w:rsidRPr="008651F7" w:rsidRDefault="008651F7">
            <w:pPr>
              <w:pStyle w:val="NormalWeb"/>
              <w:spacing w:before="0" w:beforeAutospacing="0" w:after="0" w:afterAutospacing="0"/>
              <w:rPr>
                <w:rFonts w:ascii="Tahoma" w:hAnsi="Tahoma" w:cs="Tahoma"/>
                <w:color w:val="1A171B"/>
                <w:sz w:val="20"/>
                <w:szCs w:val="20"/>
              </w:rPr>
            </w:pPr>
            <w:r w:rsidRPr="008651F7">
              <w:rPr>
                <w:rFonts w:ascii="Tahoma" w:hAnsi="Tahoma" w:cs="Tahoma"/>
                <w:color w:val="1A171B"/>
                <w:sz w:val="20"/>
                <w:szCs w:val="20"/>
              </w:rPr>
              <w:t>This bulletin discusses the importance of forests to climate change adaptation and how more attention needs to be paid to the role forests can play in increasing the resilience of communities to impending climate change impacts.</w:t>
            </w:r>
          </w:p>
        </w:tc>
        <w:tc>
          <w:tcPr>
            <w:tcW w:w="2625" w:type="dxa"/>
            <w:hideMark/>
          </w:tcPr>
          <w:p w:rsidR="008651F7" w:rsidRPr="008651F7" w:rsidRDefault="008645BB">
            <w:pPr>
              <w:shd w:val="clear" w:color="auto" w:fill="DBE0D2"/>
              <w:jc w:val="center"/>
              <w:rPr>
                <w:rFonts w:ascii="Tahoma" w:eastAsia="Times New Roman" w:hAnsi="Tahoma" w:cs="Tahoma"/>
                <w:b/>
                <w:bCs/>
                <w:color w:val="235D04"/>
                <w:sz w:val="20"/>
                <w:szCs w:val="20"/>
              </w:rPr>
            </w:pPr>
            <w:hyperlink r:id="rId42" w:tgtFrame="_blank" w:history="1">
              <w:r w:rsidR="008651F7" w:rsidRPr="008651F7">
                <w:rPr>
                  <w:rStyle w:val="Hyperlink"/>
                  <w:rFonts w:ascii="Tahoma" w:hAnsi="Tahoma" w:cs="Tahoma"/>
                  <w:b/>
                  <w:bCs/>
                  <w:color w:val="235D04"/>
                  <w:sz w:val="20"/>
                  <w:szCs w:val="20"/>
                </w:rPr>
                <w:t xml:space="preserve">MORE DETAILS </w:t>
              </w:r>
            </w:hyperlink>
          </w:p>
          <w:p w:rsidR="008651F7" w:rsidRPr="008651F7" w:rsidRDefault="008645BB">
            <w:pPr>
              <w:shd w:val="clear" w:color="auto" w:fill="DBE0D2"/>
              <w:jc w:val="center"/>
              <w:rPr>
                <w:rFonts w:ascii="Tahoma" w:eastAsia="Times New Roman" w:hAnsi="Tahoma" w:cs="Tahoma"/>
                <w:b/>
                <w:bCs/>
                <w:color w:val="235D04"/>
                <w:sz w:val="20"/>
                <w:szCs w:val="20"/>
              </w:rPr>
            </w:pPr>
            <w:hyperlink w:anchor="toc" w:history="1">
              <w:r w:rsidR="008651F7" w:rsidRPr="008651F7">
                <w:rPr>
                  <w:rStyle w:val="Hyperlink"/>
                  <w:rFonts w:ascii="Tahoma" w:hAnsi="Tahoma" w:cs="Tahoma"/>
                  <w:b/>
                  <w:bCs/>
                  <w:color w:val="235D04"/>
                  <w:sz w:val="20"/>
                  <w:szCs w:val="20"/>
                </w:rPr>
                <w:t>BACK TO CONTENTS</w:t>
              </w:r>
            </w:hyperlink>
          </w:p>
        </w:tc>
      </w:tr>
    </w:tbl>
    <w:p w:rsidR="00BD10E0" w:rsidRPr="00BD10E0" w:rsidRDefault="00BD10E0" w:rsidP="00BD10E0">
      <w:pPr>
        <w:pStyle w:val="NormalWeb"/>
        <w:spacing w:before="135" w:after="45" w:line="336" w:lineRule="auto"/>
        <w:rPr>
          <w:rFonts w:ascii="Tahoma" w:hAnsi="Tahoma" w:cs="Tahoma"/>
          <w:b/>
          <w:color w:val="4F6228" w:themeColor="accent3" w:themeShade="80"/>
          <w:sz w:val="28"/>
          <w:szCs w:val="20"/>
        </w:rPr>
      </w:pPr>
      <w:bookmarkStart w:id="9" w:name="REDDandtheFutureofCSafeAgri"/>
      <w:r w:rsidRPr="00BD10E0">
        <w:rPr>
          <w:rFonts w:ascii="Tahoma" w:hAnsi="Tahoma" w:cs="Tahoma"/>
          <w:b/>
          <w:color w:val="4F6228" w:themeColor="accent3" w:themeShade="80"/>
          <w:sz w:val="28"/>
          <w:szCs w:val="20"/>
        </w:rPr>
        <w:t xml:space="preserve">REDD+ </w:t>
      </w:r>
      <w:proofErr w:type="gramStart"/>
      <w:r w:rsidRPr="00BD10E0">
        <w:rPr>
          <w:rFonts w:ascii="Tahoma" w:hAnsi="Tahoma" w:cs="Tahoma"/>
          <w:b/>
          <w:color w:val="4F6228" w:themeColor="accent3" w:themeShade="80"/>
          <w:sz w:val="28"/>
          <w:szCs w:val="20"/>
        </w:rPr>
        <w:t>And</w:t>
      </w:r>
      <w:proofErr w:type="gramEnd"/>
      <w:r w:rsidRPr="00BD10E0">
        <w:rPr>
          <w:rFonts w:ascii="Tahoma" w:hAnsi="Tahoma" w:cs="Tahoma"/>
          <w:b/>
          <w:color w:val="4F6228" w:themeColor="accent3" w:themeShade="80"/>
          <w:sz w:val="28"/>
          <w:szCs w:val="20"/>
        </w:rPr>
        <w:t xml:space="preserve"> The Future Of Climate-Safe Agriculture</w:t>
      </w:r>
    </w:p>
    <w:bookmarkEnd w:id="9"/>
    <w:p w:rsidR="00BD10E0" w:rsidRPr="00141F1D" w:rsidRDefault="00BD10E0" w:rsidP="00BD10E0">
      <w:pPr>
        <w:pStyle w:val="Heading5"/>
        <w:rPr>
          <w:rFonts w:ascii="Tahoma" w:hAnsi="Tahoma" w:cs="Tahoma"/>
          <w:sz w:val="18"/>
          <w:szCs w:val="18"/>
        </w:rPr>
      </w:pPr>
      <w:r w:rsidRPr="00141F1D">
        <w:rPr>
          <w:rFonts w:ascii="Tahoma" w:hAnsi="Tahoma" w:cs="Tahoma"/>
          <w:sz w:val="18"/>
          <w:szCs w:val="18"/>
        </w:rPr>
        <w:t>This article has been adapted from the working paper “</w:t>
      </w:r>
      <w:hyperlink r:id="rId43" w:tgtFrame="_blank" w:history="1">
        <w:r w:rsidRPr="00141F1D">
          <w:rPr>
            <w:rStyle w:val="Hyperlink"/>
            <w:rFonts w:ascii="Tahoma" w:hAnsi="Tahoma" w:cs="Tahoma"/>
            <w:sz w:val="18"/>
            <w:szCs w:val="18"/>
          </w:rPr>
          <w:t>The Road to Doha: The future of REDD-Plus, agriculture, and land-use change in the UNFCCC</w:t>
        </w:r>
      </w:hyperlink>
      <w:r w:rsidRPr="00141F1D">
        <w:rPr>
          <w:rFonts w:ascii="Tahoma" w:hAnsi="Tahoma" w:cs="Tahoma"/>
          <w:sz w:val="18"/>
          <w:szCs w:val="18"/>
        </w:rPr>
        <w:t xml:space="preserve">”, published by the Foundation for International Environmental Law and Development (FIELD) and available for download </w:t>
      </w:r>
      <w:hyperlink r:id="rId44" w:tgtFrame="_blank" w:history="1">
        <w:r w:rsidRPr="00141F1D">
          <w:rPr>
            <w:rStyle w:val="Hyperlink"/>
            <w:rFonts w:ascii="Tahoma" w:hAnsi="Tahoma" w:cs="Tahoma"/>
            <w:sz w:val="18"/>
            <w:szCs w:val="18"/>
          </w:rPr>
          <w:t>here</w:t>
        </w:r>
      </w:hyperlink>
      <w:r w:rsidRPr="00141F1D">
        <w:rPr>
          <w:rFonts w:ascii="Tahoma" w:hAnsi="Tahoma" w:cs="Tahoma"/>
          <w:sz w:val="18"/>
          <w:szCs w:val="18"/>
        </w:rPr>
        <w:t>. The full paper offers a comprehensive summary of REDD-plus and LULUCF negotiations in the lead-up to Doha, as well as this assessment of agriculture within the UNFCCC.</w:t>
      </w:r>
    </w:p>
    <w:p w:rsidR="00BD10E0" w:rsidRDefault="00BD10E0" w:rsidP="00BD10E0">
      <w:pPr>
        <w:rPr>
          <w:rFonts w:ascii="Tahoma" w:eastAsia="Times New Roman" w:hAnsi="Tahoma" w:cs="Tahoma"/>
          <w:b/>
          <w:bCs/>
          <w:sz w:val="20"/>
          <w:szCs w:val="20"/>
        </w:rPr>
      </w:pPr>
    </w:p>
    <w:p w:rsidR="00BD10E0" w:rsidRPr="00141F1D" w:rsidRDefault="00BD10E0" w:rsidP="00BD10E0">
      <w:pPr>
        <w:rPr>
          <w:rFonts w:ascii="Tahoma" w:eastAsia="Times New Roman" w:hAnsi="Tahoma" w:cs="Tahoma"/>
          <w:sz w:val="20"/>
          <w:szCs w:val="20"/>
        </w:rPr>
      </w:pPr>
      <w:r w:rsidRPr="00141F1D">
        <w:rPr>
          <w:rFonts w:ascii="Tahoma" w:eastAsia="Times New Roman" w:hAnsi="Tahoma" w:cs="Tahoma"/>
          <w:b/>
          <w:bCs/>
          <w:sz w:val="20"/>
          <w:szCs w:val="20"/>
        </w:rPr>
        <w:t>21 January 2013 |</w:t>
      </w:r>
      <w:r w:rsidRPr="00141F1D">
        <w:rPr>
          <w:rFonts w:ascii="Tahoma" w:eastAsia="Times New Roman" w:hAnsi="Tahoma" w:cs="Tahoma"/>
          <w:sz w:val="20"/>
          <w:szCs w:val="20"/>
        </w:rPr>
        <w:t xml:space="preserve"> The 2012 United Nations Climate Change Conference in Doha officially launched the Durban Platform for Enhanced Action (ADP), which aims to establish a new legal instrument by 2015 that comes into force by 2020.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At this point, it would be wise to take a step back and assess how the multiple streams of progress achieved under the AWG-KP, AWG-LCA, </w:t>
      </w:r>
      <w:proofErr w:type="gramStart"/>
      <w:r w:rsidRPr="00141F1D">
        <w:rPr>
          <w:rFonts w:ascii="Tahoma" w:eastAsia="Times New Roman" w:hAnsi="Tahoma" w:cs="Tahoma"/>
          <w:sz w:val="20"/>
          <w:szCs w:val="20"/>
        </w:rPr>
        <w:t>ADP</w:t>
      </w:r>
      <w:proofErr w:type="gramEnd"/>
      <w:r w:rsidRPr="00141F1D">
        <w:rPr>
          <w:rFonts w:ascii="Tahoma" w:eastAsia="Times New Roman" w:hAnsi="Tahoma" w:cs="Tahoma"/>
          <w:sz w:val="20"/>
          <w:szCs w:val="20"/>
        </w:rPr>
        <w:t xml:space="preserve"> and REDD-Plus ultimately set the stage for the future of land-use issues under the UNFCCC.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There is no doubt that REDD-Plus and LULUCF, while not perfect, have advanced beyond the expectations of many.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The former, in particular, has managed to create for itself a platform that does not entirely depend on </w:t>
      </w:r>
      <w:r w:rsidRPr="00141F1D">
        <w:rPr>
          <w:rFonts w:ascii="Tahoma" w:eastAsia="Times New Roman" w:hAnsi="Tahoma" w:cs="Tahoma"/>
          <w:sz w:val="20"/>
          <w:szCs w:val="20"/>
        </w:rPr>
        <w:lastRenderedPageBreak/>
        <w:t xml:space="preserve">the UNFCCC for action but instead has created enough good will among governments and diverse stakeholders to go on their own and generate valuable experiences that establish early action for forest protection.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And LULUCF, while for a long time full of controversy over complex accounting rules and environmental integrity issues, has emerged with a relatively robust mandatory accounting system for forest management activities.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Agriculture, on the other hand, has largely fallen on the wayside under the LCA, having failed to secure a political and substantive basis for further work beyond just sectoral approaches. This gap has been the subject of much debate outside the negotiations as agriculture was largely seen as a make or break issue for both the Cancun and Durban conferences. And yet, its downplaying persists under the LCA. Under KP, cropland and grazing land management are included as eligible activities under LULUCF but only as voluntary activities. This is mainly due to difficulties in accounting, although breakthroughs have been made in recent negotiations and informal discussions that could potentially influence future discussion towards mandatory and comprehensive accounting for LULUCF that would include agriculture.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All this begs the question of where, how and when will land-use issues be taken up starting 2013. And such questions should be considered against the backdrop of change that the ADP is </w:t>
      </w:r>
      <w:proofErr w:type="spellStart"/>
      <w:r w:rsidRPr="00141F1D">
        <w:rPr>
          <w:rFonts w:ascii="Tahoma" w:eastAsia="Times New Roman" w:hAnsi="Tahoma" w:cs="Tahoma"/>
          <w:sz w:val="20"/>
          <w:szCs w:val="20"/>
        </w:rPr>
        <w:t>catalyzing</w:t>
      </w:r>
      <w:proofErr w:type="spellEnd"/>
      <w:r w:rsidRPr="00141F1D">
        <w:rPr>
          <w:rFonts w:ascii="Tahoma" w:eastAsia="Times New Roman" w:hAnsi="Tahoma" w:cs="Tahoma"/>
          <w:sz w:val="20"/>
          <w:szCs w:val="20"/>
        </w:rPr>
        <w:t xml:space="preserve"> in terms of focus and shifting discourses.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So while the ADP sets out on its visioning and work planning processes, we quickly speculate on the possible futures of REDD-Plus, agriculture and land-use change in the UNFCCC. </w:t>
      </w:r>
    </w:p>
    <w:p w:rsidR="00BD10E0" w:rsidRPr="00141F1D" w:rsidRDefault="00BD10E0" w:rsidP="00BD10E0">
      <w:pPr>
        <w:spacing w:before="100" w:beforeAutospacing="1" w:after="100" w:afterAutospacing="1"/>
        <w:outlineLvl w:val="3"/>
        <w:rPr>
          <w:rFonts w:ascii="Tahoma" w:eastAsia="Times New Roman" w:hAnsi="Tahoma" w:cs="Tahoma"/>
          <w:b/>
          <w:bCs/>
          <w:sz w:val="20"/>
          <w:szCs w:val="20"/>
        </w:rPr>
      </w:pPr>
      <w:r w:rsidRPr="00141F1D">
        <w:rPr>
          <w:rFonts w:ascii="Tahoma" w:eastAsia="Times New Roman" w:hAnsi="Tahoma" w:cs="Tahoma"/>
          <w:b/>
          <w:bCs/>
          <w:sz w:val="20"/>
          <w:szCs w:val="20"/>
        </w:rPr>
        <w:t>REDD-Plus</w:t>
      </w:r>
    </w:p>
    <w:p w:rsidR="00BD10E0" w:rsidRPr="00141F1D" w:rsidRDefault="00BD10E0" w:rsidP="00BD10E0">
      <w:pPr>
        <w:rPr>
          <w:rFonts w:ascii="Tahoma" w:eastAsia="Times New Roman" w:hAnsi="Tahoma" w:cs="Tahoma"/>
          <w:sz w:val="20"/>
          <w:szCs w:val="20"/>
        </w:rPr>
      </w:pPr>
      <w:r w:rsidRPr="00141F1D">
        <w:rPr>
          <w:rFonts w:ascii="Tahoma" w:eastAsia="Times New Roman" w:hAnsi="Tahoma" w:cs="Tahoma"/>
          <w:sz w:val="20"/>
          <w:szCs w:val="20"/>
        </w:rPr>
        <w:t xml:space="preserve">The ADP addresses large, sweeping questions such as improving the level of ambition on emissions reduction and financing, MRV, and establishing the role of mitigation mechanisms such as REDD-Plus towards assisting developed and developing countries meet commitments.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Timing-wise, the years between 2013, 2015, and 2020 could be organized to explicitly scale-up phase 1 and phase 2 activities in developing countries, with the SBI monitoring implementation, sharing best practices, and promoting further demonstration and experimentation.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This would mean that come 2015, a clear signal from the ADP should already have been established to create demand and drive investment into REDD-Plus around the world. And this can only be achieved with clear decisions under the ADP on how REDD-Plus will interact with elements such as raised mitigation commitments from both developed and developing countries, MRV, finance, and new market mechanisms under a new protocol, and not to mention language within the ADP and the new protocol supporting continued country efforts to establish REDD-readiness and demonstration.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Come 2020, when a new protocol with all these elements is officially in place, REDD-Plus can transition smoothly into phase 3, where hopefully a far larger institutional machinery will keep supply and demand for REDD-Plus stable, and financial support for performance based payments are sustained through REDD-Plus credits by developed countries, or by in-country support through NAMAs.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What makes REDD-Plus ultimately interesting to watch between 2013 and 2015 is if it will go the path that LULUCF did under the KP of entertaining drawn-out negotiations towards a strict, rules-based </w:t>
      </w:r>
      <w:r w:rsidRPr="00141F1D">
        <w:rPr>
          <w:rFonts w:ascii="Tahoma" w:eastAsia="Times New Roman" w:hAnsi="Tahoma" w:cs="Tahoma"/>
          <w:sz w:val="20"/>
          <w:szCs w:val="20"/>
        </w:rPr>
        <w:lastRenderedPageBreak/>
        <w:t xml:space="preserve">accounting regime. As Parties slowly realize the potential of REDD-Plus likely emerging as the most accepted, advanced, and cost-effective model by 2020 for meeting emissions reduction commitments under a new climate regime, it remains to be seen if the ADP will steer discussions towards establishing stricter accounting rules or allow for an organic expansion of effort and collaboration between developed and developing countries towards “climate-effective” outcomes, or a complicated expression of both.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At this point, it would be very hard to speculate on this matter, pending discussions under the ADP, and not to mention the two huge elephants in the room: integrating or collapsing agriculture and REDD-Plus under LULUCF discussions under a new protocol, and treatment of REDD-Plus as an official flexible mechanism in a post-2020 regime. It would therefore be absolutely critical to kick-off Doha’s visioning process with a frank expression of views around the above topics. </w:t>
      </w:r>
      <w:r w:rsidRPr="00141F1D">
        <w:rPr>
          <w:rFonts w:eastAsia="Times New Roman" w:cs="Tahoma"/>
          <w:sz w:val="20"/>
          <w:szCs w:val="20"/>
        </w:rPr>
        <w:t> </w:t>
      </w:r>
      <w:r w:rsidRPr="00141F1D">
        <w:rPr>
          <w:rFonts w:ascii="Tahoma" w:eastAsia="Times New Roman" w:hAnsi="Tahoma" w:cs="Tahoma"/>
          <w:sz w:val="20"/>
          <w:szCs w:val="20"/>
        </w:rPr>
        <w:t xml:space="preserve"> </w:t>
      </w:r>
    </w:p>
    <w:p w:rsidR="00BD10E0" w:rsidRPr="00141F1D" w:rsidRDefault="00BD10E0" w:rsidP="00BD10E0">
      <w:pPr>
        <w:spacing w:before="100" w:beforeAutospacing="1" w:after="100" w:afterAutospacing="1"/>
        <w:outlineLvl w:val="3"/>
        <w:rPr>
          <w:rFonts w:ascii="Tahoma" w:eastAsia="Times New Roman" w:hAnsi="Tahoma" w:cs="Tahoma"/>
          <w:b/>
          <w:bCs/>
          <w:sz w:val="20"/>
          <w:szCs w:val="20"/>
        </w:rPr>
      </w:pPr>
      <w:r w:rsidRPr="00141F1D">
        <w:rPr>
          <w:rFonts w:ascii="Tahoma" w:eastAsia="Times New Roman" w:hAnsi="Tahoma" w:cs="Tahoma"/>
          <w:b/>
          <w:bCs/>
          <w:sz w:val="20"/>
          <w:szCs w:val="20"/>
        </w:rPr>
        <w:t>Agriculture and LULUCF</w:t>
      </w:r>
    </w:p>
    <w:p w:rsidR="00BD10E0" w:rsidRPr="00141F1D" w:rsidRDefault="00BD10E0" w:rsidP="00BD10E0">
      <w:pPr>
        <w:spacing w:after="240" w:line="336" w:lineRule="auto"/>
        <w:rPr>
          <w:rFonts w:ascii="Tahoma" w:hAnsi="Tahoma" w:cs="Tahoma"/>
          <w:sz w:val="20"/>
          <w:szCs w:val="20"/>
        </w:rPr>
      </w:pPr>
      <w:r w:rsidRPr="00141F1D">
        <w:rPr>
          <w:rFonts w:ascii="Tahoma" w:eastAsia="Times New Roman" w:hAnsi="Tahoma" w:cs="Tahoma"/>
          <w:sz w:val="20"/>
          <w:szCs w:val="20"/>
        </w:rPr>
        <w:t xml:space="preserve">As mentioned previously, while LULUCF may have won a small victory with its continuity into the second commitment period of the KP, its fate with regards to a new protocol in 2020 is, quite frankly, still anybody’s guess. This is so much more the case with agriculture per se, with some Parties feeling more comfortable folding it into LULUCF, or keeping separate to avoid “contamination”, or even strictly treating it as a driver of deforestation under REDD-Plus.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There are moves by several developed and developing countries alike to further close perceived loopholes in LULUCF and this involves calls to institute a comprehensive net- net accounting regime, or in other words, a mandatory accounting system for the whole land-use sector that includes emissions and removals from forest, cropland, grazing land, wetland, and </w:t>
      </w:r>
      <w:proofErr w:type="spellStart"/>
      <w:r w:rsidRPr="00141F1D">
        <w:rPr>
          <w:rFonts w:ascii="Tahoma" w:eastAsia="Times New Roman" w:hAnsi="Tahoma" w:cs="Tahoma"/>
          <w:sz w:val="20"/>
          <w:szCs w:val="20"/>
        </w:rPr>
        <w:t>peatland</w:t>
      </w:r>
      <w:proofErr w:type="spellEnd"/>
      <w:r w:rsidRPr="00141F1D">
        <w:rPr>
          <w:rFonts w:ascii="Tahoma" w:eastAsia="Times New Roman" w:hAnsi="Tahoma" w:cs="Tahoma"/>
          <w:sz w:val="20"/>
          <w:szCs w:val="20"/>
        </w:rPr>
        <w:t xml:space="preserve"> management. Under a new protocol, such a system would likely ensure the highest level of environmental integrity but would in turn require profound political will.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And on this note, we again speculate that before any of these issues become ripe for discussion with respect to a new protocol that is “applicable to all” (“but not uniform in application” as some countries are quick to add), the broader issue of how land-use activities, including REDD-Plus, are to be treated will first have to be clarified.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For instance, will LULUCF remain a mechanism for developed countries to meet emission reduction commitments? Which developed countries are eligible to access it as a flexible mechanism? Is LULUCF applicable to developing countries in terms of meeting NAMAs? Can LULUCF including agriculture be considered under new market mechanisms for developing country participation? How does REDD-Plus interface with LULUCF both as a potential NAMA and a flexible mechanism? </w:t>
      </w:r>
      <w:r w:rsidRPr="00141F1D">
        <w:rPr>
          <w:rFonts w:ascii="Tahoma" w:eastAsia="Times New Roman" w:hAnsi="Tahoma" w:cs="Tahoma"/>
          <w:sz w:val="20"/>
          <w:szCs w:val="20"/>
        </w:rPr>
        <w:br/>
      </w:r>
      <w:r w:rsidRPr="00141F1D">
        <w:rPr>
          <w:rFonts w:ascii="Tahoma" w:eastAsia="Times New Roman" w:hAnsi="Tahoma" w:cs="Tahoma"/>
          <w:sz w:val="20"/>
          <w:szCs w:val="20"/>
        </w:rPr>
        <w:br/>
        <w:t xml:space="preserve">At this stage, we can only surmise that if a renewed focus on mitigation and financing is established under the ADP, that REDD-Plus, agriculture and LULUCF can become major elements of a “mitigation mechanisms” </w:t>
      </w:r>
      <w:proofErr w:type="spellStart"/>
      <w:r w:rsidRPr="00141F1D">
        <w:rPr>
          <w:rFonts w:ascii="Tahoma" w:eastAsia="Times New Roman" w:hAnsi="Tahoma" w:cs="Tahoma"/>
          <w:sz w:val="20"/>
          <w:szCs w:val="20"/>
        </w:rPr>
        <w:t>workstream</w:t>
      </w:r>
      <w:proofErr w:type="spellEnd"/>
      <w:r w:rsidRPr="00141F1D">
        <w:rPr>
          <w:rFonts w:ascii="Tahoma" w:eastAsia="Times New Roman" w:hAnsi="Tahoma" w:cs="Tahoma"/>
          <w:sz w:val="20"/>
          <w:szCs w:val="20"/>
        </w:rPr>
        <w:t xml:space="preserve"> that is closely tied to MRV, financing and new market mechanisms. Under this </w:t>
      </w:r>
      <w:proofErr w:type="spellStart"/>
      <w:r w:rsidRPr="00141F1D">
        <w:rPr>
          <w:rFonts w:ascii="Tahoma" w:eastAsia="Times New Roman" w:hAnsi="Tahoma" w:cs="Tahoma"/>
          <w:sz w:val="20"/>
          <w:szCs w:val="20"/>
        </w:rPr>
        <w:t>workstream</w:t>
      </w:r>
      <w:proofErr w:type="spellEnd"/>
      <w:r w:rsidRPr="00141F1D">
        <w:rPr>
          <w:rFonts w:ascii="Tahoma" w:eastAsia="Times New Roman" w:hAnsi="Tahoma" w:cs="Tahoma"/>
          <w:sz w:val="20"/>
          <w:szCs w:val="20"/>
        </w:rPr>
        <w:t xml:space="preserve">, we can also go as far as to predict that Parties will work very hard to establish a “dynamic differentiation” between developed and developing countries on the applicability of </w:t>
      </w:r>
      <w:r w:rsidRPr="00141F1D">
        <w:rPr>
          <w:rFonts w:ascii="Tahoma" w:eastAsia="Times New Roman" w:hAnsi="Tahoma" w:cs="Tahoma"/>
          <w:sz w:val="20"/>
          <w:szCs w:val="20"/>
        </w:rPr>
        <w:lastRenderedPageBreak/>
        <w:t xml:space="preserve">accounting rules and financing modalities, while developed countries in particular will work very hard towards broadening the scope of and their access to potentially new flexible mechanisms established under this </w:t>
      </w:r>
      <w:proofErr w:type="spellStart"/>
      <w:r w:rsidRPr="00141F1D">
        <w:rPr>
          <w:rFonts w:ascii="Tahoma" w:eastAsia="Times New Roman" w:hAnsi="Tahoma" w:cs="Tahoma"/>
          <w:sz w:val="20"/>
          <w:szCs w:val="20"/>
        </w:rPr>
        <w:t>workstream</w:t>
      </w:r>
      <w:proofErr w:type="spellEnd"/>
      <w:r w:rsidRPr="00141F1D">
        <w:rPr>
          <w:rFonts w:ascii="Tahoma" w:eastAsia="Times New Roman" w:hAnsi="Tahoma" w:cs="Tahoma"/>
          <w:sz w:val="20"/>
          <w:szCs w:val="20"/>
        </w:rPr>
        <w:t>.</w:t>
      </w:r>
    </w:p>
    <w:p w:rsidR="00BD10E0" w:rsidRPr="00141F1D" w:rsidRDefault="008645BB" w:rsidP="00BD10E0">
      <w:pPr>
        <w:spacing w:line="336" w:lineRule="auto"/>
        <w:rPr>
          <w:rFonts w:ascii="Tahoma" w:hAnsi="Tahoma" w:cs="Tahoma"/>
          <w:sz w:val="20"/>
          <w:szCs w:val="20"/>
        </w:rPr>
      </w:pPr>
      <w:hyperlink r:id="rId45" w:tgtFrame="_blank" w:history="1">
        <w:r w:rsidR="00BD10E0" w:rsidRPr="00141F1D">
          <w:rPr>
            <w:rStyle w:val="Hyperlink"/>
            <w:rFonts w:ascii="Tahoma" w:hAnsi="Tahoma" w:cs="Tahoma"/>
            <w:sz w:val="20"/>
            <w:szCs w:val="20"/>
          </w:rPr>
          <w:t xml:space="preserve">See it on </w:t>
        </w:r>
        <w:proofErr w:type="spellStart"/>
        <w:r w:rsidR="00BD10E0" w:rsidRPr="00141F1D">
          <w:rPr>
            <w:rStyle w:val="Hyperlink"/>
            <w:rFonts w:ascii="Tahoma" w:hAnsi="Tahoma" w:cs="Tahoma"/>
            <w:sz w:val="20"/>
            <w:szCs w:val="20"/>
          </w:rPr>
          <w:t>Scoop.it</w:t>
        </w:r>
        <w:proofErr w:type="spellEnd"/>
      </w:hyperlink>
      <w:r w:rsidR="00BD10E0" w:rsidRPr="00141F1D">
        <w:rPr>
          <w:rFonts w:ascii="Tahoma" w:hAnsi="Tahoma" w:cs="Tahoma"/>
          <w:sz w:val="20"/>
          <w:szCs w:val="20"/>
        </w:rPr>
        <w:t xml:space="preserve">, via </w:t>
      </w:r>
      <w:hyperlink r:id="rId46" w:tgtFrame="_blank" w:history="1">
        <w:r w:rsidR="00BD10E0" w:rsidRPr="00141F1D">
          <w:rPr>
            <w:rStyle w:val="Hyperlink"/>
            <w:rFonts w:ascii="Tahoma" w:hAnsi="Tahoma" w:cs="Tahoma"/>
            <w:sz w:val="20"/>
            <w:szCs w:val="20"/>
          </w:rPr>
          <w:t>Climate Change, Agriculture &amp; Food Security</w:t>
        </w:r>
      </w:hyperlink>
    </w:p>
    <w:p w:rsidR="00F53172" w:rsidRPr="00F53172" w:rsidRDefault="00F53172" w:rsidP="00F53172">
      <w:pPr>
        <w:pStyle w:val="Heading1"/>
        <w:rPr>
          <w:rFonts w:ascii="Tahoma" w:hAnsi="Tahoma" w:cs="Tahoma"/>
          <w:color w:val="4F6228" w:themeColor="accent3" w:themeShade="80"/>
          <w:sz w:val="28"/>
          <w:szCs w:val="20"/>
        </w:rPr>
      </w:pPr>
      <w:bookmarkStart w:id="10" w:name="DryLandsConferenceFocusesonLinksAmongCCF"/>
      <w:r w:rsidRPr="00F53172">
        <w:rPr>
          <w:rFonts w:ascii="Tahoma" w:hAnsi="Tahoma" w:cs="Tahoma"/>
          <w:color w:val="4F6228" w:themeColor="accent3" w:themeShade="80"/>
          <w:sz w:val="28"/>
          <w:szCs w:val="20"/>
        </w:rPr>
        <w:t xml:space="preserve">Dry Lands Conference Focuses on Links </w:t>
      </w:r>
      <w:proofErr w:type="gramStart"/>
      <w:r w:rsidRPr="00F53172">
        <w:rPr>
          <w:rFonts w:ascii="Tahoma" w:hAnsi="Tahoma" w:cs="Tahoma"/>
          <w:color w:val="4F6228" w:themeColor="accent3" w:themeShade="80"/>
          <w:sz w:val="28"/>
          <w:szCs w:val="20"/>
        </w:rPr>
        <w:t>Among</w:t>
      </w:r>
      <w:proofErr w:type="gramEnd"/>
      <w:r w:rsidRPr="00F53172">
        <w:rPr>
          <w:rFonts w:ascii="Tahoma" w:hAnsi="Tahoma" w:cs="Tahoma"/>
          <w:color w:val="4F6228" w:themeColor="accent3" w:themeShade="80"/>
          <w:sz w:val="28"/>
          <w:szCs w:val="20"/>
        </w:rPr>
        <w:t xml:space="preserve"> Climate Change, Food Security and Water Management</w:t>
      </w:r>
    </w:p>
    <w:bookmarkEnd w:id="10"/>
    <w:p w:rsidR="00F53172" w:rsidRPr="00F53172" w:rsidRDefault="00F53172" w:rsidP="00F53172">
      <w:pPr>
        <w:pStyle w:val="NormalWeb"/>
        <w:rPr>
          <w:rFonts w:ascii="Tahoma" w:hAnsi="Tahoma" w:cs="Tahoma"/>
          <w:sz w:val="20"/>
          <w:szCs w:val="20"/>
        </w:rPr>
      </w:pPr>
      <w:r w:rsidRPr="00F53172">
        <w:rPr>
          <w:rFonts w:ascii="Tahoma" w:hAnsi="Tahoma" w:cs="Tahoma"/>
          <w:noProof/>
          <w:sz w:val="20"/>
          <w:szCs w:val="20"/>
          <w:lang w:val="en-US" w:eastAsia="en-US"/>
        </w:rPr>
        <w:drawing>
          <wp:anchor distT="0" distB="0" distL="114300" distR="114300" simplePos="0" relativeHeight="251662336" behindDoc="1" locked="0" layoutInCell="1" allowOverlap="1">
            <wp:simplePos x="0" y="0"/>
            <wp:positionH relativeFrom="column">
              <wp:posOffset>19050</wp:posOffset>
            </wp:positionH>
            <wp:positionV relativeFrom="paragraph">
              <wp:posOffset>-1270</wp:posOffset>
            </wp:positionV>
            <wp:extent cx="828675" cy="495300"/>
            <wp:effectExtent l="19050" t="0" r="9525" b="0"/>
            <wp:wrapTight wrapText="bothSides">
              <wp:wrapPolygon edited="0">
                <wp:start x="-497" y="0"/>
                <wp:lineTo x="-497" y="20769"/>
                <wp:lineTo x="21848" y="20769"/>
                <wp:lineTo x="21848" y="0"/>
                <wp:lineTo x="-497" y="0"/>
              </wp:wrapPolygon>
            </wp:wrapTight>
            <wp:docPr id="12" name="Picture 9" descr="http://iisdrs.iisd.org/files/2012/11/fs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isdrs.iisd.org/files/2012/11/fsdl.png"/>
                    <pic:cNvPicPr>
                      <a:picLocks noChangeAspect="1" noChangeArrowheads="1"/>
                    </pic:cNvPicPr>
                  </pic:nvPicPr>
                  <pic:blipFill>
                    <a:blip r:embed="rId47" cstate="print"/>
                    <a:srcRect/>
                    <a:stretch>
                      <a:fillRect/>
                    </a:stretch>
                  </pic:blipFill>
                  <pic:spPr bwMode="auto">
                    <a:xfrm>
                      <a:off x="0" y="0"/>
                      <a:ext cx="828675" cy="495300"/>
                    </a:xfrm>
                    <a:prstGeom prst="rect">
                      <a:avLst/>
                    </a:prstGeom>
                    <a:noFill/>
                    <a:ln w="9525">
                      <a:noFill/>
                      <a:miter lim="800000"/>
                      <a:headEnd/>
                      <a:tailEnd/>
                    </a:ln>
                  </pic:spPr>
                </pic:pic>
              </a:graphicData>
            </a:graphic>
          </wp:anchor>
        </w:drawing>
      </w:r>
      <w:r w:rsidRPr="00F53172">
        <w:rPr>
          <w:rFonts w:ascii="Tahoma" w:hAnsi="Tahoma" w:cs="Tahoma"/>
          <w:sz w:val="20"/>
          <w:szCs w:val="20"/>
        </w:rPr>
        <w:t>15 November 2012: The International Conference on Food Security in Dry Lands aimed to develop recommendations in areas related to policy strategies and investments to boost agricultural production enhance food security and increase resilience to price shocks. Conference participants focused on issues related to food security, water management and responsible investment.</w:t>
      </w:r>
    </w:p>
    <w:p w:rsidR="00F53172" w:rsidRPr="00F53172" w:rsidRDefault="00F53172" w:rsidP="00F53172">
      <w:pPr>
        <w:pStyle w:val="NormalWeb"/>
        <w:rPr>
          <w:rFonts w:ascii="Tahoma" w:hAnsi="Tahoma" w:cs="Tahoma"/>
          <w:sz w:val="20"/>
          <w:szCs w:val="20"/>
        </w:rPr>
      </w:pPr>
      <w:r w:rsidRPr="00F53172">
        <w:rPr>
          <w:rFonts w:ascii="Tahoma" w:hAnsi="Tahoma" w:cs="Tahoma"/>
          <w:sz w:val="20"/>
          <w:szCs w:val="20"/>
        </w:rPr>
        <w:t>The Conference, which took place from 14-15 November 2012, in Doha, Qatar, brought together representatives from government, academia, development agencies, civil society and the private sector.</w:t>
      </w:r>
    </w:p>
    <w:p w:rsidR="00F53172" w:rsidRPr="00F53172" w:rsidRDefault="00F53172" w:rsidP="00F53172">
      <w:pPr>
        <w:pStyle w:val="NormalWeb"/>
        <w:rPr>
          <w:rFonts w:ascii="Tahoma" w:hAnsi="Tahoma" w:cs="Tahoma"/>
          <w:sz w:val="20"/>
          <w:szCs w:val="20"/>
        </w:rPr>
      </w:pPr>
      <w:r w:rsidRPr="00F53172">
        <w:rPr>
          <w:rFonts w:ascii="Tahoma" w:hAnsi="Tahoma" w:cs="Tahoma"/>
          <w:sz w:val="20"/>
          <w:szCs w:val="20"/>
        </w:rPr>
        <w:t xml:space="preserve">In his address to the Conference, UN Secretary-General Ban Ki-moon highlighted the particular vulnerability of </w:t>
      </w:r>
      <w:proofErr w:type="spellStart"/>
      <w:r w:rsidRPr="00F53172">
        <w:rPr>
          <w:rFonts w:ascii="Tahoma" w:hAnsi="Tahoma" w:cs="Tahoma"/>
          <w:sz w:val="20"/>
          <w:szCs w:val="20"/>
        </w:rPr>
        <w:t>dryland</w:t>
      </w:r>
      <w:proofErr w:type="spellEnd"/>
      <w:r w:rsidRPr="00F53172">
        <w:rPr>
          <w:rFonts w:ascii="Tahoma" w:hAnsi="Tahoma" w:cs="Tahoma"/>
          <w:sz w:val="20"/>
          <w:szCs w:val="20"/>
        </w:rPr>
        <w:t xml:space="preserve"> inhabitants to climate change impacts and food insecurity. Noting that </w:t>
      </w:r>
      <w:proofErr w:type="spellStart"/>
      <w:r w:rsidRPr="00F53172">
        <w:rPr>
          <w:rFonts w:ascii="Tahoma" w:hAnsi="Tahoma" w:cs="Tahoma"/>
          <w:sz w:val="20"/>
          <w:szCs w:val="20"/>
        </w:rPr>
        <w:t>drylands</w:t>
      </w:r>
      <w:proofErr w:type="spellEnd"/>
      <w:r w:rsidRPr="00F53172">
        <w:rPr>
          <w:rFonts w:ascii="Tahoma" w:hAnsi="Tahoma" w:cs="Tahoma"/>
          <w:sz w:val="20"/>
          <w:szCs w:val="20"/>
        </w:rPr>
        <w:t xml:space="preserve"> occupy 40% of the planet's land area, he pointed to the 2011 Horn of Africa famine and the 2012 Sahel drought, as well as the </w:t>
      </w:r>
      <w:proofErr w:type="spellStart"/>
      <w:r w:rsidRPr="00F53172">
        <w:rPr>
          <w:rFonts w:ascii="Tahoma" w:hAnsi="Tahoma" w:cs="Tahoma"/>
          <w:sz w:val="20"/>
          <w:szCs w:val="20"/>
        </w:rPr>
        <w:t>interlinkages</w:t>
      </w:r>
      <w:proofErr w:type="spellEnd"/>
      <w:r w:rsidRPr="00F53172">
        <w:rPr>
          <w:rFonts w:ascii="Tahoma" w:hAnsi="Tahoma" w:cs="Tahoma"/>
          <w:sz w:val="20"/>
          <w:szCs w:val="20"/>
        </w:rPr>
        <w:t xml:space="preserve"> among climate change, development, peace and security. Ban called for action on reducing land degradation and improving water security through reforming agricultural practices and making food systems sustainable. He noted that such an approach is at the </w:t>
      </w:r>
      <w:proofErr w:type="spellStart"/>
      <w:r w:rsidRPr="00F53172">
        <w:rPr>
          <w:rFonts w:ascii="Tahoma" w:hAnsi="Tahoma" w:cs="Tahoma"/>
          <w:sz w:val="20"/>
          <w:szCs w:val="20"/>
        </w:rPr>
        <w:t>center</w:t>
      </w:r>
      <w:proofErr w:type="spellEnd"/>
      <w:r w:rsidRPr="00F53172">
        <w:rPr>
          <w:rFonts w:ascii="Tahoma" w:hAnsi="Tahoma" w:cs="Tahoma"/>
          <w:sz w:val="20"/>
          <w:szCs w:val="20"/>
        </w:rPr>
        <w:t xml:space="preserve"> of the Zero Hunger Challenge that will promote efficiency through the food chain, reduce impacts and waste and nurture soil. He added that these efforts will manage risk by improving the ability to forecast weather and develop climate-resilient crops.</w:t>
      </w:r>
    </w:p>
    <w:p w:rsidR="00F53172" w:rsidRPr="00F53172" w:rsidRDefault="00F53172" w:rsidP="00F53172">
      <w:pPr>
        <w:pStyle w:val="NormalWeb"/>
        <w:rPr>
          <w:rFonts w:ascii="Tahoma" w:hAnsi="Tahoma" w:cs="Tahoma"/>
          <w:sz w:val="20"/>
          <w:szCs w:val="20"/>
        </w:rPr>
      </w:pPr>
      <w:r w:rsidRPr="00F53172">
        <w:rPr>
          <w:rFonts w:ascii="Tahoma" w:hAnsi="Tahoma" w:cs="Tahoma"/>
          <w:sz w:val="20"/>
          <w:szCs w:val="20"/>
        </w:rPr>
        <w:t xml:space="preserve">In his address, Jose </w:t>
      </w:r>
      <w:proofErr w:type="spellStart"/>
      <w:r w:rsidRPr="00F53172">
        <w:rPr>
          <w:rFonts w:ascii="Tahoma" w:hAnsi="Tahoma" w:cs="Tahoma"/>
          <w:sz w:val="20"/>
          <w:szCs w:val="20"/>
        </w:rPr>
        <w:t>Graziano</w:t>
      </w:r>
      <w:proofErr w:type="spellEnd"/>
      <w:r w:rsidRPr="00F53172">
        <w:rPr>
          <w:rFonts w:ascii="Tahoma" w:hAnsi="Tahoma" w:cs="Tahoma"/>
          <w:sz w:val="20"/>
          <w:szCs w:val="20"/>
        </w:rPr>
        <w:t xml:space="preserve"> </w:t>
      </w:r>
      <w:proofErr w:type="spellStart"/>
      <w:r w:rsidRPr="00F53172">
        <w:rPr>
          <w:rFonts w:ascii="Tahoma" w:hAnsi="Tahoma" w:cs="Tahoma"/>
          <w:sz w:val="20"/>
          <w:szCs w:val="20"/>
        </w:rPr>
        <w:t>da</w:t>
      </w:r>
      <w:proofErr w:type="spellEnd"/>
      <w:r w:rsidRPr="00F53172">
        <w:rPr>
          <w:rFonts w:ascii="Tahoma" w:hAnsi="Tahoma" w:cs="Tahoma"/>
          <w:sz w:val="20"/>
          <w:szCs w:val="20"/>
        </w:rPr>
        <w:t xml:space="preserve"> Silva, UN Food and Agriculture Organization (FAO) Director General, stressed that land degradation in </w:t>
      </w:r>
      <w:proofErr w:type="spellStart"/>
      <w:r w:rsidRPr="00F53172">
        <w:rPr>
          <w:rFonts w:ascii="Tahoma" w:hAnsi="Tahoma" w:cs="Tahoma"/>
          <w:sz w:val="20"/>
          <w:szCs w:val="20"/>
        </w:rPr>
        <w:t>dryland</w:t>
      </w:r>
      <w:proofErr w:type="spellEnd"/>
      <w:r w:rsidRPr="00F53172">
        <w:rPr>
          <w:rFonts w:ascii="Tahoma" w:hAnsi="Tahoma" w:cs="Tahoma"/>
          <w:sz w:val="20"/>
          <w:szCs w:val="20"/>
        </w:rPr>
        <w:t xml:space="preserve"> countries threatens over two billion people. He highlighted that the views of the conference would feed into the Committee on Food Security's efforts to develop principles for responsible investment in agriculture.</w:t>
      </w:r>
    </w:p>
    <w:p w:rsidR="00F53172" w:rsidRPr="00F53172" w:rsidRDefault="00F53172" w:rsidP="00F53172">
      <w:pPr>
        <w:pStyle w:val="NormalWeb"/>
        <w:rPr>
          <w:rFonts w:ascii="Tahoma" w:hAnsi="Tahoma" w:cs="Tahoma"/>
          <w:sz w:val="20"/>
          <w:szCs w:val="20"/>
        </w:rPr>
      </w:pPr>
      <w:r w:rsidRPr="00F53172">
        <w:rPr>
          <w:rFonts w:ascii="Tahoma" w:hAnsi="Tahoma" w:cs="Tahoma"/>
          <w:sz w:val="20"/>
          <w:szCs w:val="20"/>
        </w:rPr>
        <w:t xml:space="preserve">The Conference was held under the auspices of the Heir Apparent, His Highness, Sheikh </w:t>
      </w:r>
      <w:proofErr w:type="spellStart"/>
      <w:r w:rsidRPr="00F53172">
        <w:rPr>
          <w:rFonts w:ascii="Tahoma" w:hAnsi="Tahoma" w:cs="Tahoma"/>
          <w:sz w:val="20"/>
          <w:szCs w:val="20"/>
        </w:rPr>
        <w:t>Tamim</w:t>
      </w:r>
      <w:proofErr w:type="spellEnd"/>
      <w:r w:rsidRPr="00F53172">
        <w:rPr>
          <w:rFonts w:ascii="Tahoma" w:hAnsi="Tahoma" w:cs="Tahoma"/>
          <w:sz w:val="20"/>
          <w:szCs w:val="20"/>
        </w:rPr>
        <w:t xml:space="preserve"> bin </w:t>
      </w:r>
      <w:proofErr w:type="spellStart"/>
      <w:r w:rsidRPr="00F53172">
        <w:rPr>
          <w:rFonts w:ascii="Tahoma" w:hAnsi="Tahoma" w:cs="Tahoma"/>
          <w:sz w:val="20"/>
          <w:szCs w:val="20"/>
        </w:rPr>
        <w:t>Hamad</w:t>
      </w:r>
      <w:proofErr w:type="spellEnd"/>
      <w:r w:rsidRPr="00F53172">
        <w:rPr>
          <w:rFonts w:ascii="Tahoma" w:hAnsi="Tahoma" w:cs="Tahoma"/>
          <w:sz w:val="20"/>
          <w:szCs w:val="20"/>
        </w:rPr>
        <w:t xml:space="preserve"> Al </w:t>
      </w:r>
      <w:proofErr w:type="spellStart"/>
      <w:r w:rsidRPr="00F53172">
        <w:rPr>
          <w:rFonts w:ascii="Tahoma" w:hAnsi="Tahoma" w:cs="Tahoma"/>
          <w:sz w:val="20"/>
          <w:szCs w:val="20"/>
        </w:rPr>
        <w:t>Thaniin</w:t>
      </w:r>
      <w:proofErr w:type="spellEnd"/>
      <w:r w:rsidRPr="00F53172">
        <w:rPr>
          <w:rFonts w:ascii="Tahoma" w:hAnsi="Tahoma" w:cs="Tahoma"/>
          <w:sz w:val="20"/>
          <w:szCs w:val="20"/>
        </w:rPr>
        <w:t>, in collaboration with the International Fund for Agricultural Development (IFAD), the World Bank, FAO, the UN Educational, Scientific and Cultural Organization (UNESCO), the International Centre for Agricultural Research in Dry Areas (ICARDA), and the Qatar Environment and Energy Research Institute (QEERI) of Qatar Foundation, among other partners. [</w:t>
      </w:r>
      <w:hyperlink r:id="rId48" w:tgtFrame="_blank" w:history="1">
        <w:r w:rsidRPr="00F53172">
          <w:rPr>
            <w:rStyle w:val="Hyperlink"/>
            <w:rFonts w:ascii="Tahoma" w:hAnsi="Tahoma" w:cs="Tahoma"/>
            <w:sz w:val="20"/>
            <w:szCs w:val="20"/>
          </w:rPr>
          <w:t>UN Secretary-General's Statement</w:t>
        </w:r>
      </w:hyperlink>
      <w:r w:rsidRPr="00F53172">
        <w:rPr>
          <w:rFonts w:ascii="Tahoma" w:hAnsi="Tahoma" w:cs="Tahoma"/>
          <w:sz w:val="20"/>
          <w:szCs w:val="20"/>
        </w:rPr>
        <w:t>] [</w:t>
      </w:r>
      <w:hyperlink r:id="rId49" w:tgtFrame="_blank" w:history="1">
        <w:r w:rsidRPr="00F53172">
          <w:rPr>
            <w:rStyle w:val="Hyperlink"/>
            <w:rFonts w:ascii="Tahoma" w:hAnsi="Tahoma" w:cs="Tahoma"/>
            <w:sz w:val="20"/>
            <w:szCs w:val="20"/>
          </w:rPr>
          <w:t>FAO Statement</w:t>
        </w:r>
      </w:hyperlink>
      <w:r w:rsidRPr="00F53172">
        <w:rPr>
          <w:rFonts w:ascii="Tahoma" w:hAnsi="Tahoma" w:cs="Tahoma"/>
          <w:sz w:val="20"/>
          <w:szCs w:val="20"/>
        </w:rPr>
        <w:t>] [</w:t>
      </w:r>
      <w:hyperlink r:id="rId50" w:tgtFrame="_blank" w:history="1">
        <w:r w:rsidRPr="00F53172">
          <w:rPr>
            <w:rStyle w:val="Hyperlink"/>
            <w:rFonts w:ascii="Tahoma" w:hAnsi="Tahoma" w:cs="Tahoma"/>
            <w:sz w:val="20"/>
            <w:szCs w:val="20"/>
          </w:rPr>
          <w:t xml:space="preserve">International Conference on Food Security in </w:t>
        </w:r>
        <w:proofErr w:type="spellStart"/>
        <w:r w:rsidRPr="00F53172">
          <w:rPr>
            <w:rStyle w:val="Hyperlink"/>
            <w:rFonts w:ascii="Tahoma" w:hAnsi="Tahoma" w:cs="Tahoma"/>
            <w:sz w:val="20"/>
            <w:szCs w:val="20"/>
          </w:rPr>
          <w:t>Drylands</w:t>
        </w:r>
        <w:proofErr w:type="spellEnd"/>
        <w:r w:rsidRPr="00F53172">
          <w:rPr>
            <w:rStyle w:val="Hyperlink"/>
            <w:rFonts w:ascii="Tahoma" w:hAnsi="Tahoma" w:cs="Tahoma"/>
            <w:sz w:val="20"/>
            <w:szCs w:val="20"/>
          </w:rPr>
          <w:t xml:space="preserve"> Website</w:t>
        </w:r>
      </w:hyperlink>
      <w:r w:rsidRPr="00F53172">
        <w:rPr>
          <w:rFonts w:ascii="Tahoma" w:hAnsi="Tahoma" w:cs="Tahoma"/>
          <w:sz w:val="20"/>
          <w:szCs w:val="20"/>
        </w:rPr>
        <w:t>]</w:t>
      </w:r>
    </w:p>
    <w:p w:rsidR="0069571F" w:rsidRPr="0069571F" w:rsidRDefault="0069571F" w:rsidP="0069571F">
      <w:pPr>
        <w:pStyle w:val="Heading1"/>
        <w:rPr>
          <w:rFonts w:ascii="Tahoma" w:hAnsi="Tahoma" w:cs="Tahoma"/>
          <w:color w:val="4F6228" w:themeColor="accent3" w:themeShade="80"/>
          <w:sz w:val="28"/>
          <w:szCs w:val="20"/>
        </w:rPr>
      </w:pPr>
      <w:bookmarkStart w:id="11" w:name="SPREPHostsFirstCCPortalTraining"/>
      <w:r w:rsidRPr="0069571F">
        <w:rPr>
          <w:rFonts w:ascii="Tahoma" w:hAnsi="Tahoma" w:cs="Tahoma"/>
          <w:color w:val="4F6228" w:themeColor="accent3" w:themeShade="80"/>
          <w:sz w:val="28"/>
          <w:szCs w:val="20"/>
        </w:rPr>
        <w:t>SPREP Hosts First Pacific Climate Change Portal Training</w:t>
      </w:r>
    </w:p>
    <w:bookmarkEnd w:id="11"/>
    <w:p w:rsidR="0069571F" w:rsidRPr="0069571F" w:rsidRDefault="0069571F" w:rsidP="0069571F">
      <w:pPr>
        <w:pStyle w:val="NormalWeb"/>
        <w:rPr>
          <w:rFonts w:ascii="Tahoma" w:hAnsi="Tahoma" w:cs="Tahoma"/>
          <w:sz w:val="20"/>
          <w:szCs w:val="20"/>
        </w:rPr>
      </w:pPr>
      <w:r w:rsidRPr="0069571F">
        <w:rPr>
          <w:rFonts w:ascii="Tahoma" w:hAnsi="Tahoma" w:cs="Tahoma"/>
          <w:noProof/>
          <w:sz w:val="20"/>
          <w:szCs w:val="20"/>
          <w:lang w:val="en-US" w:eastAsia="en-US"/>
        </w:rPr>
        <w:drawing>
          <wp:anchor distT="0" distB="0" distL="114300" distR="114300" simplePos="0" relativeHeight="251661312" behindDoc="1" locked="0" layoutInCell="1" allowOverlap="1">
            <wp:simplePos x="0" y="0"/>
            <wp:positionH relativeFrom="column">
              <wp:posOffset>19050</wp:posOffset>
            </wp:positionH>
            <wp:positionV relativeFrom="paragraph">
              <wp:posOffset>0</wp:posOffset>
            </wp:positionV>
            <wp:extent cx="1266825" cy="438150"/>
            <wp:effectExtent l="19050" t="0" r="9525" b="0"/>
            <wp:wrapTight wrapText="bothSides">
              <wp:wrapPolygon edited="0">
                <wp:start x="-325" y="0"/>
                <wp:lineTo x="-325" y="20661"/>
                <wp:lineTo x="21762" y="20661"/>
                <wp:lineTo x="21762" y="0"/>
                <wp:lineTo x="-325" y="0"/>
              </wp:wrapPolygon>
            </wp:wrapTight>
            <wp:docPr id="11" name="Picture 7" descr="SP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REP"/>
                    <pic:cNvPicPr>
                      <a:picLocks noChangeAspect="1" noChangeArrowheads="1"/>
                    </pic:cNvPicPr>
                  </pic:nvPicPr>
                  <pic:blipFill>
                    <a:blip r:embed="rId51" cstate="print"/>
                    <a:srcRect/>
                    <a:stretch>
                      <a:fillRect/>
                    </a:stretch>
                  </pic:blipFill>
                  <pic:spPr bwMode="auto">
                    <a:xfrm>
                      <a:off x="0" y="0"/>
                      <a:ext cx="1266825" cy="438150"/>
                    </a:xfrm>
                    <a:prstGeom prst="rect">
                      <a:avLst/>
                    </a:prstGeom>
                    <a:noFill/>
                    <a:ln w="9525">
                      <a:noFill/>
                      <a:miter lim="800000"/>
                      <a:headEnd/>
                      <a:tailEnd/>
                    </a:ln>
                  </pic:spPr>
                </pic:pic>
              </a:graphicData>
            </a:graphic>
          </wp:anchor>
        </w:drawing>
      </w:r>
      <w:r w:rsidRPr="0069571F">
        <w:rPr>
          <w:rFonts w:ascii="Tahoma" w:hAnsi="Tahoma" w:cs="Tahoma"/>
          <w:sz w:val="20"/>
          <w:szCs w:val="20"/>
        </w:rPr>
        <w:t>14 November 2012: The Secretariat of the Pacific Regional Environment Programme (SPREP) coordinated the first regional training on the Pacific Climate Change Portal for national counterparts. Participants discussed user needs and the establishment of a network of climate change portal editors and users. </w:t>
      </w:r>
    </w:p>
    <w:p w:rsidR="0069571F" w:rsidRPr="0069571F" w:rsidRDefault="0069571F" w:rsidP="0069571F">
      <w:pPr>
        <w:pStyle w:val="NormalWeb"/>
        <w:rPr>
          <w:rFonts w:ascii="Tahoma" w:hAnsi="Tahoma" w:cs="Tahoma"/>
          <w:sz w:val="20"/>
          <w:szCs w:val="20"/>
        </w:rPr>
      </w:pPr>
      <w:r w:rsidRPr="0069571F">
        <w:rPr>
          <w:rFonts w:ascii="Tahoma" w:hAnsi="Tahoma" w:cs="Tahoma"/>
          <w:sz w:val="20"/>
          <w:szCs w:val="20"/>
        </w:rPr>
        <w:t xml:space="preserve">The training, which took place at the University of the South Pacific (USP) in Suva, Fiji, on 6-8 November 2012, equipped participants from the Cook Islands, Fiji, Kiribati, Samoa, Tonga, Tuvalu and Vanuatu with skills and knowledge for maintaining their countries' information relating to climate </w:t>
      </w:r>
      <w:r w:rsidRPr="0069571F">
        <w:rPr>
          <w:rFonts w:ascii="Tahoma" w:hAnsi="Tahoma" w:cs="Tahoma"/>
          <w:sz w:val="20"/>
          <w:szCs w:val="20"/>
        </w:rPr>
        <w:lastRenderedPageBreak/>
        <w:t>change on the Portal. According to SPREP, the Pacific Climate Change Portal will house a database of national climate change projects in the region.</w:t>
      </w:r>
    </w:p>
    <w:p w:rsidR="0069571F" w:rsidRPr="0069571F" w:rsidRDefault="0069571F" w:rsidP="0069571F">
      <w:pPr>
        <w:pStyle w:val="NormalWeb"/>
        <w:rPr>
          <w:rFonts w:ascii="Tahoma" w:hAnsi="Tahoma" w:cs="Tahoma"/>
          <w:sz w:val="20"/>
          <w:szCs w:val="20"/>
        </w:rPr>
      </w:pPr>
      <w:r w:rsidRPr="0069571F">
        <w:rPr>
          <w:rFonts w:ascii="Tahoma" w:hAnsi="Tahoma" w:cs="Tahoma"/>
          <w:sz w:val="20"/>
          <w:szCs w:val="20"/>
        </w:rPr>
        <w:t>Makelesi Gonelevu, SPREP Knowledge Management Officer, indicated that the training also: identified how the Portal meets the needs of Pacific islands people; and provided an opportunity to test the Portal, collecting user feedback on improvements or additional features. Participants also received training in searching the virtual libraries of the University of the South Pacific and the Secretariat of the Pacific Community (SPC) for climate change information.</w:t>
      </w:r>
    </w:p>
    <w:p w:rsidR="0069571F" w:rsidRPr="0069571F" w:rsidRDefault="0069571F" w:rsidP="0069571F">
      <w:pPr>
        <w:pStyle w:val="NormalWeb"/>
        <w:rPr>
          <w:rFonts w:ascii="Tahoma" w:hAnsi="Tahoma" w:cs="Tahoma"/>
          <w:sz w:val="20"/>
          <w:szCs w:val="20"/>
        </w:rPr>
      </w:pPr>
      <w:r w:rsidRPr="0069571F">
        <w:rPr>
          <w:rFonts w:ascii="Tahoma" w:hAnsi="Tahoma" w:cs="Tahoma"/>
          <w:sz w:val="20"/>
          <w:szCs w:val="20"/>
        </w:rPr>
        <w:t>Representatives from SPC, the German Agency for International Cooperation (GIZ) and the UN Development Programme (UNDP) also attended the training. [</w:t>
      </w:r>
      <w:hyperlink r:id="rId52" w:tgtFrame="_blank" w:history="1">
        <w:r w:rsidRPr="0069571F">
          <w:rPr>
            <w:rStyle w:val="Hyperlink"/>
            <w:rFonts w:ascii="Tahoma" w:hAnsi="Tahoma" w:cs="Tahoma"/>
            <w:sz w:val="20"/>
            <w:szCs w:val="20"/>
          </w:rPr>
          <w:t>SPREP Press Release</w:t>
        </w:r>
      </w:hyperlink>
      <w:r w:rsidRPr="0069571F">
        <w:rPr>
          <w:rFonts w:ascii="Tahoma" w:hAnsi="Tahoma" w:cs="Tahoma"/>
          <w:sz w:val="20"/>
          <w:szCs w:val="20"/>
        </w:rPr>
        <w:t>]</w:t>
      </w:r>
    </w:p>
    <w:p w:rsidR="00D5584A" w:rsidRPr="00D5584A" w:rsidRDefault="00D5584A" w:rsidP="00D5584A">
      <w:pPr>
        <w:pStyle w:val="NoSpacing"/>
        <w:rPr>
          <w:rFonts w:ascii="Tahoma" w:hAnsi="Tahoma" w:cs="Tahoma"/>
          <w:b/>
          <w:color w:val="4F6228"/>
          <w:sz w:val="28"/>
          <w:szCs w:val="22"/>
        </w:rPr>
      </w:pPr>
      <w:bookmarkStart w:id="12" w:name="NewStudyAssessmentofWBGrpExpinCAdaptatio"/>
      <w:r w:rsidRPr="00D5584A">
        <w:rPr>
          <w:rFonts w:ascii="Tahoma" w:hAnsi="Tahoma" w:cs="Tahoma"/>
          <w:b/>
          <w:color w:val="4F6228"/>
          <w:sz w:val="28"/>
          <w:szCs w:val="22"/>
        </w:rPr>
        <w:t>New Study: Assessment of World Bank Group's Experience in Climate Adaptation</w:t>
      </w:r>
    </w:p>
    <w:bookmarkEnd w:id="12"/>
    <w:p w:rsidR="00D5584A" w:rsidRPr="00EB1C92" w:rsidRDefault="00D5584A" w:rsidP="00D5584A">
      <w:pPr>
        <w:pStyle w:val="NoSpacing"/>
        <w:rPr>
          <w:rFonts w:ascii="Tahoma" w:hAnsi="Tahoma" w:cs="Tahoma"/>
        </w:rPr>
      </w:pPr>
    </w:p>
    <w:p w:rsidR="0055690D" w:rsidRDefault="00D5584A" w:rsidP="00EB1C92">
      <w:pPr>
        <w:pStyle w:val="NoSpacing"/>
        <w:rPr>
          <w:rFonts w:ascii="Tahoma" w:hAnsi="Tahoma" w:cs="Tahoma"/>
        </w:rPr>
      </w:pPr>
      <w:r w:rsidRPr="00EB1C92">
        <w:rPr>
          <w:rFonts w:ascii="Tahoma" w:hAnsi="Tahoma" w:cs="Tahoma"/>
        </w:rPr>
        <w:t>The Independent Evaluation Group recently released a new assessment of the</w:t>
      </w:r>
      <w:hyperlink r:id="rId53" w:history="1">
        <w:r w:rsidRPr="00EB1C92">
          <w:rPr>
            <w:rStyle w:val="Hyperlink"/>
            <w:rFonts w:ascii="Tahoma" w:hAnsi="Tahoma" w:cs="Tahoma"/>
          </w:rPr>
          <w:t> World Bank Group's Experience in Climate Adaptation</w:t>
        </w:r>
      </w:hyperlink>
      <w:r w:rsidRPr="00EB1C92">
        <w:rPr>
          <w:rFonts w:ascii="Tahoma" w:hAnsi="Tahoma" w:cs="Tahoma"/>
        </w:rPr>
        <w:t xml:space="preserve">. This evaluation draws lessons from World Bank Group experience with adaptation to both current levels of climate variability and ongoing climate change. It reviews the impact of longer-standing efforts to deal with climate variability, for instance via drought relief, sustainable land management, and flood control. The evaluation also looks at how, and how well, the World Bank Group has incorporated climate change risks into the design and appraisal of long-lived infrastructure. It assesses early lessons from a new crop of activities that explicitly grapple with climate adaptation at the national level. To read the study, please visit our website </w:t>
      </w:r>
      <w:r w:rsidR="0055690D" w:rsidRPr="00EB1C92">
        <w:rPr>
          <w:rFonts w:ascii="Tahoma" w:hAnsi="Tahoma" w:cs="Tahoma"/>
        </w:rPr>
        <w:t xml:space="preserve">at </w:t>
      </w:r>
      <w:hyperlink r:id="rId54" w:history="1">
        <w:r w:rsidRPr="00EB1C92">
          <w:rPr>
            <w:rStyle w:val="Hyperlink"/>
            <w:rFonts w:ascii="Tahoma" w:hAnsi="Tahoma" w:cs="Tahoma"/>
          </w:rPr>
          <w:t>http://ow.ly/eTqjY</w:t>
        </w:r>
      </w:hyperlink>
      <w:r w:rsidRPr="00EB1C92">
        <w:rPr>
          <w:rFonts w:ascii="Tahoma" w:hAnsi="Tahoma" w:cs="Tahoma"/>
        </w:rPr>
        <w:t xml:space="preserve"> . </w:t>
      </w:r>
    </w:p>
    <w:p w:rsidR="000124E4" w:rsidRDefault="000124E4" w:rsidP="000124E4">
      <w:pPr>
        <w:jc w:val="center"/>
      </w:pPr>
      <w:r>
        <w:rPr>
          <w:noProof/>
          <w:color w:val="000000"/>
          <w:lang w:val="en-US"/>
        </w:rPr>
        <w:drawing>
          <wp:inline distT="0" distB="0" distL="0" distR="0">
            <wp:extent cx="4270375" cy="923290"/>
            <wp:effectExtent l="19050" t="0" r="0" b="0"/>
            <wp:docPr id="13" name="Picture 1" descr="cid:image001.jpg@01CDD221.2F481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DD221.2F4817E0"/>
                    <pic:cNvPicPr>
                      <a:picLocks noChangeAspect="1" noChangeArrowheads="1"/>
                    </pic:cNvPicPr>
                  </pic:nvPicPr>
                  <pic:blipFill>
                    <a:blip r:embed="rId55" r:link="rId56" cstate="print"/>
                    <a:srcRect/>
                    <a:stretch>
                      <a:fillRect/>
                    </a:stretch>
                  </pic:blipFill>
                  <pic:spPr bwMode="auto">
                    <a:xfrm>
                      <a:off x="0" y="0"/>
                      <a:ext cx="4270375" cy="923290"/>
                    </a:xfrm>
                    <a:prstGeom prst="rect">
                      <a:avLst/>
                    </a:prstGeom>
                    <a:noFill/>
                    <a:ln w="9525">
                      <a:noFill/>
                      <a:miter lim="800000"/>
                      <a:headEnd/>
                      <a:tailEnd/>
                    </a:ln>
                  </pic:spPr>
                </pic:pic>
              </a:graphicData>
            </a:graphic>
          </wp:inline>
        </w:drawing>
      </w:r>
    </w:p>
    <w:p w:rsidR="000124E4" w:rsidRPr="000124E4" w:rsidRDefault="000124E4" w:rsidP="000124E4">
      <w:pPr>
        <w:spacing w:before="100" w:beforeAutospacing="1"/>
        <w:rPr>
          <w:rFonts w:ascii="Tahoma" w:hAnsi="Tahoma" w:cs="Tahoma"/>
          <w:color w:val="4F6228" w:themeColor="accent3" w:themeShade="80"/>
          <w:sz w:val="28"/>
          <w:szCs w:val="20"/>
          <w:lang w:val="en-US"/>
        </w:rPr>
      </w:pPr>
      <w:bookmarkStart w:id="13" w:name="NewReportonPICCincludesMajorConcernsforH"/>
      <w:r w:rsidRPr="000124E4">
        <w:rPr>
          <w:rFonts w:ascii="Tahoma" w:hAnsi="Tahoma" w:cs="Tahoma"/>
          <w:b/>
          <w:bCs/>
          <w:color w:val="4F6228" w:themeColor="accent3" w:themeShade="80"/>
          <w:sz w:val="28"/>
          <w:szCs w:val="20"/>
          <w:lang w:val="en-US"/>
        </w:rPr>
        <w:t>New Report on Pacific Islands Climate Change Includes Major Concerns for Hawai‘i</w:t>
      </w:r>
    </w:p>
    <w:bookmarkEnd w:id="13"/>
    <w:p w:rsidR="000124E4" w:rsidRPr="000124E4" w:rsidRDefault="000124E4" w:rsidP="000124E4">
      <w:pPr>
        <w:spacing w:before="100" w:beforeAutospacing="1"/>
        <w:rPr>
          <w:rFonts w:ascii="Tahoma" w:hAnsi="Tahoma" w:cs="Tahoma"/>
          <w:color w:val="000000"/>
          <w:sz w:val="20"/>
          <w:szCs w:val="20"/>
          <w:lang w:val="en-US"/>
        </w:rPr>
      </w:pPr>
      <w:proofErr w:type="gramStart"/>
      <w:r w:rsidRPr="000124E4">
        <w:rPr>
          <w:rFonts w:ascii="Tahoma" w:hAnsi="Tahoma" w:cs="Tahoma"/>
          <w:color w:val="000000"/>
          <w:sz w:val="20"/>
          <w:szCs w:val="20"/>
          <w:lang w:val="en-US"/>
        </w:rPr>
        <w:t xml:space="preserve">HONOLULU (December 4, 2012)—The Pacific Islands Regional Climate Assessment (PIRCA) today released its first </w:t>
      </w:r>
      <w:hyperlink r:id="rId57" w:tgtFrame="_blank" w:history="1">
        <w:r w:rsidRPr="000124E4">
          <w:rPr>
            <w:rStyle w:val="Hyperlink"/>
            <w:rFonts w:ascii="Tahoma" w:hAnsi="Tahoma" w:cs="Tahoma"/>
            <w:sz w:val="20"/>
            <w:szCs w:val="20"/>
            <w:lang w:val="en-US"/>
          </w:rPr>
          <w:t>report</w:t>
        </w:r>
      </w:hyperlink>
      <w:r w:rsidRPr="000124E4">
        <w:rPr>
          <w:rFonts w:ascii="Tahoma" w:hAnsi="Tahoma" w:cs="Tahoma"/>
          <w:color w:val="000000"/>
          <w:sz w:val="20"/>
          <w:szCs w:val="20"/>
          <w:lang w:val="en-US"/>
        </w:rPr>
        <w:t xml:space="preserve">, </w:t>
      </w:r>
      <w:r w:rsidRPr="000124E4">
        <w:rPr>
          <w:rFonts w:ascii="Tahoma" w:hAnsi="Tahoma" w:cs="Tahoma"/>
          <w:i/>
          <w:iCs/>
          <w:color w:val="000000"/>
          <w:sz w:val="20"/>
          <w:szCs w:val="20"/>
          <w:lang w:val="en-US"/>
        </w:rPr>
        <w:t>Climate Change and Pacific Islands: Indicators and Impacts</w:t>
      </w:r>
      <w:r w:rsidRPr="000124E4">
        <w:rPr>
          <w:rFonts w:ascii="Tahoma" w:hAnsi="Tahoma" w:cs="Tahoma"/>
          <w:color w:val="000000"/>
          <w:sz w:val="20"/>
          <w:szCs w:val="20"/>
          <w:lang w:val="en-US"/>
        </w:rPr>
        <w:t xml:space="preserve"> (Island Press).</w:t>
      </w:r>
      <w:proofErr w:type="gramEnd"/>
      <w:r w:rsidRPr="000124E4">
        <w:rPr>
          <w:rFonts w:ascii="Tahoma" w:hAnsi="Tahoma" w:cs="Tahoma"/>
          <w:color w:val="000000"/>
          <w:sz w:val="20"/>
          <w:szCs w:val="20"/>
          <w:lang w:val="en-US"/>
        </w:rPr>
        <w:t xml:space="preserve"> The report highlights the findings of more than 100 scientists and other experts who assessed climate change impacts on Hawai‘i and other Pacific Islands as part of a series of regional contributions to the 2013 National Climate Assessment.</w:t>
      </w:r>
    </w:p>
    <w:p w:rsidR="000124E4" w:rsidRPr="000124E4" w:rsidRDefault="000124E4" w:rsidP="000124E4">
      <w:pPr>
        <w:spacing w:before="100" w:beforeAutospacing="1"/>
        <w:rPr>
          <w:rFonts w:ascii="Tahoma" w:hAnsi="Tahoma" w:cs="Tahoma"/>
          <w:color w:val="000000"/>
          <w:sz w:val="20"/>
          <w:szCs w:val="20"/>
          <w:lang w:val="en-US"/>
        </w:rPr>
      </w:pPr>
      <w:r w:rsidRPr="000124E4">
        <w:rPr>
          <w:rFonts w:ascii="Tahoma" w:hAnsi="Tahoma" w:cs="Tahoma"/>
          <w:color w:val="000000"/>
          <w:sz w:val="20"/>
          <w:szCs w:val="20"/>
          <w:lang w:val="en-US"/>
        </w:rPr>
        <w:t>"Climate change is real, and it's already having an impact on Hawai‘i and throughout the Pacific,” said Lieutenant Governor Brian Schatz, who will speak at a free public forum on the report on Dec. 10. “We islanders must make the necessary preparations for warmer, unstable weather. It will affect every aspect of our society and economy, including agriculture, real estate and tourism. The time is now for serious change."</w:t>
      </w:r>
    </w:p>
    <w:p w:rsidR="000124E4" w:rsidRPr="000124E4" w:rsidRDefault="000124E4" w:rsidP="000124E4">
      <w:pPr>
        <w:spacing w:before="100" w:beforeAutospacing="1"/>
        <w:rPr>
          <w:rFonts w:ascii="Tahoma" w:hAnsi="Tahoma" w:cs="Tahoma"/>
          <w:color w:val="000000"/>
          <w:sz w:val="20"/>
          <w:szCs w:val="20"/>
          <w:lang w:val="en-US"/>
        </w:rPr>
      </w:pPr>
      <w:r w:rsidRPr="000124E4">
        <w:rPr>
          <w:rFonts w:ascii="Tahoma" w:hAnsi="Tahoma" w:cs="Tahoma"/>
          <w:color w:val="000000"/>
          <w:sz w:val="20"/>
          <w:szCs w:val="20"/>
          <w:lang w:val="en-US"/>
        </w:rPr>
        <w:t>Among the major concerns for Hawai‘i and the Pacific Islands are:</w:t>
      </w:r>
    </w:p>
    <w:p w:rsidR="000124E4" w:rsidRPr="000124E4" w:rsidRDefault="000124E4" w:rsidP="000124E4">
      <w:pPr>
        <w:numPr>
          <w:ilvl w:val="0"/>
          <w:numId w:val="16"/>
        </w:numPr>
        <w:spacing w:before="100" w:beforeAutospacing="1" w:after="0" w:line="240" w:lineRule="auto"/>
        <w:rPr>
          <w:rFonts w:ascii="Tahoma" w:eastAsia="Times New Roman" w:hAnsi="Tahoma" w:cs="Tahoma"/>
          <w:color w:val="000000"/>
          <w:sz w:val="20"/>
          <w:szCs w:val="20"/>
          <w:lang w:val="en-US"/>
        </w:rPr>
      </w:pPr>
      <w:r w:rsidRPr="000124E4">
        <w:rPr>
          <w:rFonts w:ascii="Tahoma" w:eastAsia="Times New Roman" w:hAnsi="Tahoma" w:cs="Tahoma"/>
          <w:color w:val="000000"/>
          <w:sz w:val="20"/>
          <w:szCs w:val="20"/>
          <w:lang w:val="en-US"/>
        </w:rPr>
        <w:t xml:space="preserve">Decreased freshwater supplies in the future </w:t>
      </w:r>
    </w:p>
    <w:p w:rsidR="000124E4" w:rsidRPr="000124E4" w:rsidRDefault="000124E4" w:rsidP="000124E4">
      <w:pPr>
        <w:numPr>
          <w:ilvl w:val="0"/>
          <w:numId w:val="16"/>
        </w:numPr>
        <w:spacing w:before="100" w:beforeAutospacing="1" w:after="0" w:line="240" w:lineRule="auto"/>
        <w:rPr>
          <w:rFonts w:ascii="Tahoma" w:eastAsia="Times New Roman" w:hAnsi="Tahoma" w:cs="Tahoma"/>
          <w:color w:val="000000"/>
          <w:sz w:val="20"/>
          <w:szCs w:val="20"/>
          <w:lang w:val="en-US"/>
        </w:rPr>
      </w:pPr>
      <w:r w:rsidRPr="000124E4">
        <w:rPr>
          <w:rFonts w:ascii="Tahoma" w:eastAsia="Times New Roman" w:hAnsi="Tahoma" w:cs="Tahoma"/>
          <w:color w:val="000000"/>
          <w:sz w:val="20"/>
          <w:szCs w:val="20"/>
          <w:lang w:val="en-US"/>
        </w:rPr>
        <w:t xml:space="preserve">Higher air temperatures, especially at high elevations </w:t>
      </w:r>
    </w:p>
    <w:p w:rsidR="000124E4" w:rsidRPr="000124E4" w:rsidRDefault="000124E4" w:rsidP="000124E4">
      <w:pPr>
        <w:numPr>
          <w:ilvl w:val="0"/>
          <w:numId w:val="16"/>
        </w:numPr>
        <w:spacing w:before="100" w:beforeAutospacing="1" w:after="0" w:line="240" w:lineRule="auto"/>
        <w:rPr>
          <w:rFonts w:ascii="Tahoma" w:eastAsia="Times New Roman" w:hAnsi="Tahoma" w:cs="Tahoma"/>
          <w:color w:val="000000"/>
          <w:sz w:val="20"/>
          <w:szCs w:val="20"/>
          <w:lang w:val="en-US"/>
        </w:rPr>
      </w:pPr>
      <w:r w:rsidRPr="000124E4">
        <w:rPr>
          <w:rFonts w:ascii="Tahoma" w:eastAsia="Times New Roman" w:hAnsi="Tahoma" w:cs="Tahoma"/>
          <w:color w:val="000000"/>
          <w:sz w:val="20"/>
          <w:szCs w:val="20"/>
          <w:lang w:val="en-US"/>
        </w:rPr>
        <w:t>Higher sea-surface temperatures causing coral bleaching and linked to the increased prevalence of certain coral</w:t>
      </w:r>
      <w:r w:rsidRPr="000124E4">
        <w:rPr>
          <w:rFonts w:ascii="Tahoma" w:eastAsia="Times New Roman" w:hAnsi="Tahoma" w:cs="Tahoma"/>
          <w:b/>
          <w:bCs/>
          <w:color w:val="000000"/>
          <w:sz w:val="20"/>
          <w:szCs w:val="20"/>
          <w:lang w:val="en-US"/>
        </w:rPr>
        <w:t xml:space="preserve"> </w:t>
      </w:r>
      <w:r w:rsidRPr="000124E4">
        <w:rPr>
          <w:rFonts w:ascii="Tahoma" w:eastAsia="Times New Roman" w:hAnsi="Tahoma" w:cs="Tahoma"/>
          <w:color w:val="000000"/>
          <w:sz w:val="20"/>
          <w:szCs w:val="20"/>
          <w:lang w:val="en-US"/>
        </w:rPr>
        <w:t xml:space="preserve">diseases </w:t>
      </w:r>
    </w:p>
    <w:p w:rsidR="000124E4" w:rsidRPr="000124E4" w:rsidRDefault="000124E4" w:rsidP="000124E4">
      <w:pPr>
        <w:numPr>
          <w:ilvl w:val="0"/>
          <w:numId w:val="16"/>
        </w:numPr>
        <w:spacing w:before="100" w:beforeAutospacing="1" w:after="0" w:line="240" w:lineRule="auto"/>
        <w:rPr>
          <w:rFonts w:ascii="Tahoma" w:eastAsia="Times New Roman" w:hAnsi="Tahoma" w:cs="Tahoma"/>
          <w:color w:val="000000"/>
          <w:sz w:val="20"/>
          <w:szCs w:val="20"/>
          <w:lang w:val="en-US"/>
        </w:rPr>
      </w:pPr>
      <w:r w:rsidRPr="000124E4">
        <w:rPr>
          <w:rFonts w:ascii="Tahoma" w:eastAsia="Times New Roman" w:hAnsi="Tahoma" w:cs="Tahoma"/>
          <w:color w:val="000000"/>
          <w:sz w:val="20"/>
          <w:szCs w:val="20"/>
          <w:lang w:val="en-US"/>
        </w:rPr>
        <w:lastRenderedPageBreak/>
        <w:t xml:space="preserve">Threats to traditional lifestyles of indigenous Pacific Island communities </w:t>
      </w:r>
    </w:p>
    <w:p w:rsidR="000124E4" w:rsidRPr="000124E4" w:rsidRDefault="000124E4" w:rsidP="000124E4">
      <w:pPr>
        <w:numPr>
          <w:ilvl w:val="0"/>
          <w:numId w:val="16"/>
        </w:numPr>
        <w:spacing w:before="100" w:beforeAutospacing="1" w:after="0" w:line="240" w:lineRule="auto"/>
        <w:rPr>
          <w:rFonts w:ascii="Tahoma" w:eastAsia="Times New Roman" w:hAnsi="Tahoma" w:cs="Tahoma"/>
          <w:color w:val="000000"/>
          <w:sz w:val="20"/>
          <w:szCs w:val="20"/>
          <w:lang w:val="en-US"/>
        </w:rPr>
      </w:pPr>
      <w:r w:rsidRPr="000124E4">
        <w:rPr>
          <w:rFonts w:ascii="Tahoma" w:eastAsia="Times New Roman" w:hAnsi="Tahoma" w:cs="Tahoma"/>
          <w:color w:val="000000"/>
          <w:sz w:val="20"/>
          <w:szCs w:val="20"/>
          <w:lang w:val="en-US"/>
        </w:rPr>
        <w:t xml:space="preserve">Rising sea levels, causing coastal flooding and erosion that are likely to damage coastal infrastructure and agriculture, impact tourism, and negatively affect ecosystems and endangered species. </w:t>
      </w:r>
    </w:p>
    <w:p w:rsidR="000124E4" w:rsidRPr="000124E4" w:rsidRDefault="000124E4" w:rsidP="000124E4">
      <w:pPr>
        <w:spacing w:before="100" w:beforeAutospacing="1"/>
        <w:rPr>
          <w:rFonts w:ascii="Tahoma" w:hAnsi="Tahoma" w:cs="Tahoma"/>
          <w:color w:val="000000"/>
          <w:sz w:val="20"/>
          <w:szCs w:val="20"/>
          <w:lang w:val="en-US"/>
        </w:rPr>
      </w:pPr>
      <w:r w:rsidRPr="000124E4">
        <w:rPr>
          <w:rFonts w:ascii="Tahoma" w:hAnsi="Tahoma" w:cs="Tahoma"/>
          <w:color w:val="000000"/>
          <w:sz w:val="20"/>
          <w:szCs w:val="20"/>
          <w:lang w:val="en-US"/>
        </w:rPr>
        <w:t>“The effects of climate change are already being seen across the Pacific, and now the PIRCA report provides a foundation for prioritizing adaptation measures,” said Dr. Victoria Keener, East-West Center Fellow and Lead Editor for the report. “The report is a truly collaborative effort, incorporating many perspectives to create a clear picture of what is known about climate change in the Pacific Islands to date, and what we still need to study."</w:t>
      </w:r>
    </w:p>
    <w:p w:rsidR="000124E4" w:rsidRPr="000124E4" w:rsidRDefault="000124E4" w:rsidP="000124E4">
      <w:pPr>
        <w:spacing w:before="100" w:beforeAutospacing="1"/>
        <w:rPr>
          <w:rFonts w:ascii="Tahoma" w:hAnsi="Tahoma" w:cs="Tahoma"/>
          <w:color w:val="000000"/>
          <w:sz w:val="20"/>
          <w:szCs w:val="20"/>
          <w:lang w:val="en-US"/>
        </w:rPr>
      </w:pPr>
      <w:r w:rsidRPr="000124E4">
        <w:rPr>
          <w:rFonts w:ascii="Tahoma" w:hAnsi="Tahoma" w:cs="Tahoma"/>
          <w:noProof/>
          <w:sz w:val="20"/>
          <w:szCs w:val="20"/>
          <w:lang w:val="en-US"/>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3876675" cy="2990850"/>
            <wp:effectExtent l="19050" t="0" r="9525" b="0"/>
            <wp:wrapSquare wrapText="bothSides"/>
            <wp:docPr id="14"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3"/>
                    <pic:cNvPicPr>
                      <a:picLocks noChangeAspect="1" noChangeArrowheads="1"/>
                    </pic:cNvPicPr>
                  </pic:nvPicPr>
                  <pic:blipFill>
                    <a:blip r:embed="rId58" cstate="print"/>
                    <a:srcRect/>
                    <a:stretch>
                      <a:fillRect/>
                    </a:stretch>
                  </pic:blipFill>
                  <pic:spPr bwMode="auto">
                    <a:xfrm>
                      <a:off x="0" y="0"/>
                      <a:ext cx="3876675" cy="2990850"/>
                    </a:xfrm>
                    <a:prstGeom prst="rect">
                      <a:avLst/>
                    </a:prstGeom>
                    <a:noFill/>
                  </pic:spPr>
                </pic:pic>
              </a:graphicData>
            </a:graphic>
          </wp:anchor>
        </w:drawing>
      </w:r>
      <w:r w:rsidRPr="000124E4">
        <w:rPr>
          <w:rFonts w:ascii="Tahoma" w:hAnsi="Tahoma" w:cs="Tahoma"/>
          <w:color w:val="000000"/>
          <w:sz w:val="20"/>
          <w:szCs w:val="20"/>
          <w:u w:val="single"/>
          <w:lang w:val="en-US"/>
        </w:rPr>
        <w:t>Image</w:t>
      </w:r>
      <w:r w:rsidRPr="000124E4">
        <w:rPr>
          <w:rFonts w:ascii="Tahoma" w:hAnsi="Tahoma" w:cs="Tahoma"/>
          <w:color w:val="000000"/>
          <w:sz w:val="20"/>
          <w:szCs w:val="20"/>
          <w:lang w:val="en-US"/>
        </w:rPr>
        <w:t xml:space="preserve">: </w:t>
      </w:r>
      <w:r w:rsidRPr="000124E4">
        <w:rPr>
          <w:rFonts w:ascii="Tahoma" w:hAnsi="Tahoma" w:cs="Tahoma"/>
          <w:b/>
          <w:bCs/>
          <w:color w:val="000000"/>
          <w:sz w:val="20"/>
          <w:szCs w:val="20"/>
          <w:lang w:val="en-US"/>
        </w:rPr>
        <w:t>Key indicators of climate change in the Pacific Islands region</w:t>
      </w:r>
      <w:r w:rsidRPr="000124E4">
        <w:rPr>
          <w:rFonts w:ascii="Tahoma" w:hAnsi="Tahoma" w:cs="Tahoma"/>
          <w:color w:val="000000"/>
          <w:sz w:val="20"/>
          <w:szCs w:val="20"/>
          <w:lang w:val="en-US"/>
        </w:rPr>
        <w:t>. From: </w:t>
      </w:r>
      <w:r w:rsidRPr="000124E4">
        <w:rPr>
          <w:rFonts w:ascii="Tahoma" w:hAnsi="Tahoma" w:cs="Tahoma"/>
          <w:i/>
          <w:iCs/>
          <w:color w:val="000000"/>
          <w:sz w:val="20"/>
          <w:szCs w:val="20"/>
          <w:lang w:val="en-US"/>
        </w:rPr>
        <w:t>Climate Change and Pacific Islands: Indicators and Impacts</w:t>
      </w:r>
      <w:r w:rsidRPr="000124E4">
        <w:rPr>
          <w:rFonts w:ascii="Tahoma" w:hAnsi="Tahoma" w:cs="Tahoma"/>
          <w:color w:val="000000"/>
          <w:sz w:val="20"/>
          <w:szCs w:val="20"/>
          <w:lang w:val="en-US"/>
        </w:rPr>
        <w:t xml:space="preserve">, Pacific Islands Regional Climate Assessment, 2012. </w:t>
      </w:r>
      <w:hyperlink r:id="rId59" w:tgtFrame="_blank" w:history="1">
        <w:r w:rsidRPr="000124E4">
          <w:rPr>
            <w:rStyle w:val="Hyperlink"/>
            <w:rFonts w:ascii="Tahoma" w:hAnsi="Tahoma" w:cs="Tahoma"/>
            <w:sz w:val="20"/>
            <w:szCs w:val="20"/>
            <w:lang w:val="en-US"/>
          </w:rPr>
          <w:t>Download</w:t>
        </w:r>
      </w:hyperlink>
      <w:r w:rsidRPr="000124E4">
        <w:rPr>
          <w:rFonts w:ascii="Tahoma" w:hAnsi="Tahoma" w:cs="Tahoma"/>
          <w:color w:val="000000"/>
          <w:sz w:val="20"/>
          <w:szCs w:val="20"/>
          <w:lang w:val="en-US"/>
        </w:rPr>
        <w:t xml:space="preserve"> this image.</w:t>
      </w:r>
    </w:p>
    <w:p w:rsidR="000124E4" w:rsidRPr="000124E4" w:rsidRDefault="000124E4" w:rsidP="000124E4">
      <w:pPr>
        <w:spacing w:before="100" w:beforeAutospacing="1"/>
        <w:rPr>
          <w:rFonts w:ascii="Tahoma" w:hAnsi="Tahoma" w:cs="Tahoma"/>
          <w:color w:val="000000"/>
          <w:sz w:val="20"/>
          <w:szCs w:val="20"/>
          <w:lang w:val="en-US"/>
        </w:rPr>
      </w:pPr>
      <w:r w:rsidRPr="000124E4">
        <w:rPr>
          <w:rFonts w:ascii="Tahoma" w:hAnsi="Tahoma" w:cs="Tahoma"/>
          <w:b/>
          <w:bCs/>
          <w:sz w:val="20"/>
          <w:szCs w:val="20"/>
          <w:u w:val="single"/>
          <w:lang w:val="en-US"/>
        </w:rPr>
        <w:t>Free Public Forum Dec. 10</w:t>
      </w:r>
    </w:p>
    <w:p w:rsidR="000124E4" w:rsidRPr="000124E4" w:rsidRDefault="000124E4" w:rsidP="000124E4">
      <w:pPr>
        <w:pStyle w:val="NormalWeb"/>
        <w:rPr>
          <w:rFonts w:ascii="Tahoma" w:hAnsi="Tahoma" w:cs="Tahoma"/>
          <w:color w:val="000000"/>
          <w:sz w:val="20"/>
          <w:szCs w:val="20"/>
          <w:lang w:val="en-US"/>
        </w:rPr>
      </w:pPr>
      <w:r w:rsidRPr="000124E4">
        <w:rPr>
          <w:rFonts w:ascii="Tahoma" w:hAnsi="Tahoma" w:cs="Tahoma"/>
          <w:sz w:val="20"/>
          <w:szCs w:val="20"/>
          <w:lang w:val="en-US"/>
        </w:rPr>
        <w:t xml:space="preserve">To highlight and discuss the report’s findings, PIRCA will hold a free public forum on Monday, December 10 from 9:00 AM to noon at the Hawai'i </w:t>
      </w:r>
      <w:proofErr w:type="spellStart"/>
      <w:r w:rsidRPr="000124E4">
        <w:rPr>
          <w:rFonts w:ascii="Tahoma" w:hAnsi="Tahoma" w:cs="Tahoma"/>
          <w:sz w:val="20"/>
          <w:szCs w:val="20"/>
          <w:lang w:val="en-US"/>
        </w:rPr>
        <w:t>Imin</w:t>
      </w:r>
      <w:proofErr w:type="spellEnd"/>
      <w:r w:rsidRPr="000124E4">
        <w:rPr>
          <w:rFonts w:ascii="Tahoma" w:hAnsi="Tahoma" w:cs="Tahoma"/>
          <w:sz w:val="20"/>
          <w:szCs w:val="20"/>
          <w:lang w:val="en-US"/>
        </w:rPr>
        <w:t xml:space="preserve"> International Conference Center, 1777 East-West Road, Honolulu. Lieutenant Governor Brian Schatz will give an opening address, followed by a presentation on PIRCA’s findings and a panel discussion with leaders from diverse sectors across Hawai’i and the Pacific region. Please visit </w:t>
      </w:r>
      <w:hyperlink r:id="rId60" w:tgtFrame="_blank" w:history="1">
        <w:r w:rsidRPr="000124E4">
          <w:rPr>
            <w:rStyle w:val="Hyperlink"/>
            <w:rFonts w:ascii="Tahoma" w:hAnsi="Tahoma" w:cs="Tahoma"/>
            <w:i/>
            <w:iCs/>
            <w:sz w:val="20"/>
            <w:szCs w:val="20"/>
            <w:lang w:val="en-US"/>
          </w:rPr>
          <w:t>http://tinyurl.com/pircaforum</w:t>
        </w:r>
      </w:hyperlink>
      <w:r w:rsidRPr="000124E4">
        <w:rPr>
          <w:rFonts w:ascii="Tahoma" w:hAnsi="Tahoma" w:cs="Tahoma"/>
          <w:sz w:val="20"/>
          <w:szCs w:val="20"/>
          <w:lang w:val="en-US"/>
        </w:rPr>
        <w:t xml:space="preserve"> to RSVP for this event. </w:t>
      </w:r>
    </w:p>
    <w:p w:rsidR="000124E4" w:rsidRPr="000124E4" w:rsidRDefault="000124E4" w:rsidP="000124E4">
      <w:pPr>
        <w:spacing w:before="100" w:beforeAutospacing="1" w:after="100" w:afterAutospacing="1"/>
        <w:rPr>
          <w:rFonts w:ascii="Tahoma" w:hAnsi="Tahoma" w:cs="Tahoma"/>
          <w:color w:val="000000"/>
          <w:sz w:val="20"/>
          <w:szCs w:val="20"/>
          <w:lang w:val="en-US"/>
        </w:rPr>
      </w:pPr>
      <w:r w:rsidRPr="000124E4">
        <w:rPr>
          <w:rFonts w:ascii="Tahoma" w:hAnsi="Tahoma" w:cs="Tahoma"/>
          <w:color w:val="000000"/>
          <w:sz w:val="20"/>
          <w:szCs w:val="20"/>
          <w:lang w:val="en-US"/>
        </w:rPr>
        <w:t>The 2012 PIRCA report is one in a series of technical contributions to the 2013 National Climate Assessment (NCA). The NCA is conducted under the auspices of the Global Change Research Act of 1990, which requires a report to the US President and Congress every four years on the status of climate change science and impacts. The 2012 PIRCA and the 2013 NCA will inform the nation about already observed changes and anticipated trends. Policymakers will use the NCA to set federal science priorities.  Government agencies, communities, and businesses will utilize both reports to make decisions and plans for the future.</w:t>
      </w:r>
    </w:p>
    <w:p w:rsidR="000124E4" w:rsidRPr="000124E4" w:rsidRDefault="000124E4" w:rsidP="000124E4">
      <w:pPr>
        <w:pStyle w:val="NormalWeb"/>
        <w:rPr>
          <w:rFonts w:ascii="Tahoma" w:hAnsi="Tahoma" w:cs="Tahoma"/>
          <w:color w:val="000000"/>
          <w:sz w:val="20"/>
          <w:szCs w:val="20"/>
          <w:lang w:val="en-US"/>
        </w:rPr>
      </w:pPr>
      <w:r w:rsidRPr="000124E4">
        <w:rPr>
          <w:rFonts w:ascii="Tahoma" w:hAnsi="Tahoma" w:cs="Tahoma"/>
          <w:color w:val="000000"/>
          <w:sz w:val="20"/>
          <w:szCs w:val="20"/>
          <w:lang w:val="en-US"/>
        </w:rPr>
        <w:t>For more information about specific aspects of the report, please contact the following people:</w:t>
      </w:r>
    </w:p>
    <w:tbl>
      <w:tblPr>
        <w:tblW w:w="0" w:type="auto"/>
        <w:tblCellMar>
          <w:left w:w="0" w:type="dxa"/>
          <w:right w:w="0" w:type="dxa"/>
        </w:tblCellMar>
        <w:tblLook w:val="04A0"/>
      </w:tblPr>
      <w:tblGrid>
        <w:gridCol w:w="1516"/>
        <w:gridCol w:w="1757"/>
        <w:gridCol w:w="3871"/>
        <w:gridCol w:w="2098"/>
      </w:tblGrid>
      <w:tr w:rsidR="000124E4" w:rsidRPr="000124E4" w:rsidTr="000124E4">
        <w:tc>
          <w:tcPr>
            <w:tcW w:w="1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b/>
                <w:bCs/>
                <w:sz w:val="20"/>
                <w:szCs w:val="20"/>
              </w:rPr>
              <w:t>Name</w:t>
            </w:r>
          </w:p>
        </w:tc>
        <w:tc>
          <w:tcPr>
            <w:tcW w:w="17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b/>
                <w:bCs/>
                <w:sz w:val="20"/>
                <w:szCs w:val="20"/>
              </w:rPr>
              <w:t>Organization</w:t>
            </w:r>
          </w:p>
        </w:tc>
        <w:tc>
          <w:tcPr>
            <w:tcW w:w="3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b/>
                <w:bCs/>
                <w:sz w:val="20"/>
                <w:szCs w:val="20"/>
              </w:rPr>
              <w:t>Email/Phone</w:t>
            </w:r>
          </w:p>
        </w:tc>
        <w:tc>
          <w:tcPr>
            <w:tcW w:w="2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b/>
                <w:bCs/>
                <w:sz w:val="20"/>
                <w:szCs w:val="20"/>
              </w:rPr>
              <w:t>Specialty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Victoria Keener,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East-West Center</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61" w:tgtFrame="_blank" w:history="1">
              <w:r w:rsidR="000124E4" w:rsidRPr="000124E4">
                <w:rPr>
                  <w:rStyle w:val="Hyperlink"/>
                  <w:rFonts w:ascii="Tahoma" w:hAnsi="Tahoma" w:cs="Tahoma"/>
                  <w:sz w:val="20"/>
                  <w:szCs w:val="20"/>
                </w:rPr>
                <w:t>KeenerV@EastWestCenter.org</w:t>
              </w:r>
            </w:hyperlink>
            <w:r w:rsidR="000124E4" w:rsidRPr="000124E4">
              <w:rPr>
                <w:rFonts w:ascii="Tahoma" w:hAnsi="Tahoma" w:cs="Tahoma"/>
                <w:sz w:val="20"/>
                <w:szCs w:val="20"/>
              </w:rPr>
              <w:br/>
              <w:t xml:space="preserve">Work: </w:t>
            </w:r>
            <w:hyperlink r:id="rId62" w:tgtFrame="_blank" w:history="1">
              <w:r w:rsidR="000124E4" w:rsidRPr="000124E4">
                <w:rPr>
                  <w:rStyle w:val="Hyperlink"/>
                  <w:rFonts w:ascii="Tahoma" w:hAnsi="Tahoma" w:cs="Tahoma"/>
                  <w:sz w:val="20"/>
                  <w:szCs w:val="20"/>
                </w:rPr>
                <w:t>808-944-7220</w:t>
              </w:r>
            </w:hyperlink>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Lead Editor of the report; Hydro-climatology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 xml:space="preserve">John </w:t>
            </w:r>
            <w:proofErr w:type="spellStart"/>
            <w:r w:rsidRPr="000124E4">
              <w:rPr>
                <w:rFonts w:ascii="Tahoma" w:hAnsi="Tahoma" w:cs="Tahoma"/>
                <w:sz w:val="20"/>
                <w:szCs w:val="20"/>
              </w:rPr>
              <w:t>Marra</w:t>
            </w:r>
            <w:proofErr w:type="spellEnd"/>
            <w:r w:rsidRPr="000124E4">
              <w:rPr>
                <w:rFonts w:ascii="Tahoma" w:hAnsi="Tahoma" w:cs="Tahoma"/>
                <w:sz w:val="20"/>
                <w:szCs w:val="20"/>
              </w:rPr>
              <w:t>,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NOAA</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63" w:tgtFrame="_blank" w:history="1">
              <w:r w:rsidR="000124E4" w:rsidRPr="000124E4">
                <w:rPr>
                  <w:rStyle w:val="Hyperlink"/>
                  <w:rFonts w:ascii="Tahoma" w:hAnsi="Tahoma" w:cs="Tahoma"/>
                  <w:sz w:val="20"/>
                  <w:szCs w:val="20"/>
                </w:rPr>
                <w:t>John.Marra@noaa.gov</w:t>
              </w:r>
            </w:hyperlink>
            <w:r w:rsidR="000124E4" w:rsidRPr="000124E4">
              <w:rPr>
                <w:rFonts w:ascii="Tahoma" w:hAnsi="Tahoma" w:cs="Tahoma"/>
                <w:sz w:val="20"/>
                <w:szCs w:val="20"/>
              </w:rPr>
              <w:br/>
              <w:t xml:space="preserve">Work: </w:t>
            </w:r>
            <w:hyperlink r:id="rId64" w:tgtFrame="_blank" w:history="1">
              <w:r w:rsidR="000124E4" w:rsidRPr="000124E4">
                <w:rPr>
                  <w:rStyle w:val="Hyperlink"/>
                  <w:rFonts w:ascii="Tahoma" w:hAnsi="Tahoma" w:cs="Tahoma"/>
                  <w:sz w:val="20"/>
                  <w:szCs w:val="20"/>
                </w:rPr>
                <w:t>808-944-7453</w:t>
              </w:r>
            </w:hyperlink>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Coastal geology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lastRenderedPageBreak/>
              <w:t xml:space="preserve">Melissa </w:t>
            </w:r>
            <w:proofErr w:type="spellStart"/>
            <w:r w:rsidRPr="000124E4">
              <w:rPr>
                <w:rFonts w:ascii="Tahoma" w:hAnsi="Tahoma" w:cs="Tahoma"/>
                <w:sz w:val="20"/>
                <w:szCs w:val="20"/>
              </w:rPr>
              <w:t>Finucane</w:t>
            </w:r>
            <w:proofErr w:type="spellEnd"/>
            <w:r w:rsidRPr="000124E4">
              <w:rPr>
                <w:rFonts w:ascii="Tahoma" w:hAnsi="Tahoma" w:cs="Tahoma"/>
                <w:sz w:val="20"/>
                <w:szCs w:val="20"/>
              </w:rPr>
              <w:t>,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East-West Center</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65" w:tgtFrame="_blank" w:history="1">
              <w:r w:rsidR="000124E4" w:rsidRPr="000124E4">
                <w:rPr>
                  <w:rStyle w:val="Hyperlink"/>
                  <w:rFonts w:ascii="Tahoma" w:hAnsi="Tahoma" w:cs="Tahoma"/>
                  <w:sz w:val="20"/>
                  <w:szCs w:val="20"/>
                </w:rPr>
                <w:t>Melissa.Finucane@EastWestCenter.org</w:t>
              </w:r>
            </w:hyperlink>
            <w:r w:rsidR="000124E4" w:rsidRPr="000124E4">
              <w:rPr>
                <w:rFonts w:ascii="Tahoma" w:hAnsi="Tahoma" w:cs="Tahoma"/>
                <w:sz w:val="20"/>
                <w:szCs w:val="20"/>
              </w:rPr>
              <w:br/>
              <w:t xml:space="preserve">Work: </w:t>
            </w:r>
            <w:hyperlink r:id="rId66" w:tgtFrame="_blank" w:history="1">
              <w:r w:rsidR="000124E4" w:rsidRPr="000124E4">
                <w:rPr>
                  <w:rStyle w:val="Hyperlink"/>
                  <w:rFonts w:ascii="Tahoma" w:hAnsi="Tahoma" w:cs="Tahoma"/>
                  <w:sz w:val="20"/>
                  <w:szCs w:val="20"/>
                </w:rPr>
                <w:t>808-944-7254</w:t>
              </w:r>
            </w:hyperlink>
            <w:r w:rsidR="000124E4" w:rsidRPr="000124E4">
              <w:rPr>
                <w:rFonts w:ascii="Tahoma" w:hAnsi="Tahoma" w:cs="Tahoma"/>
                <w:sz w:val="20"/>
                <w:szCs w:val="20"/>
              </w:rPr>
              <w:br/>
              <w:t xml:space="preserve">Cell: </w:t>
            </w:r>
            <w:hyperlink r:id="rId67" w:tgtFrame="_blank" w:history="1">
              <w:r w:rsidR="000124E4" w:rsidRPr="000124E4">
                <w:rPr>
                  <w:rStyle w:val="Hyperlink"/>
                  <w:rFonts w:ascii="Tahoma" w:hAnsi="Tahoma" w:cs="Tahoma"/>
                  <w:sz w:val="20"/>
                  <w:szCs w:val="20"/>
                </w:rPr>
                <w:t>808-783-8787</w:t>
              </w:r>
            </w:hyperlink>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Risk perception; decision making under uncertainty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Deanna Spooner</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 xml:space="preserve">Pacific Islands Climate Change Cooperative </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68" w:tgtFrame="_blank" w:history="1">
              <w:r w:rsidR="000124E4" w:rsidRPr="000124E4">
                <w:rPr>
                  <w:rStyle w:val="Hyperlink"/>
                  <w:rFonts w:ascii="Tahoma" w:hAnsi="Tahoma" w:cs="Tahoma"/>
                  <w:sz w:val="20"/>
                  <w:szCs w:val="20"/>
                </w:rPr>
                <w:t>Deanna.Spooner@piccc.net</w:t>
              </w:r>
            </w:hyperlink>
            <w:r w:rsidR="000124E4" w:rsidRPr="000124E4">
              <w:rPr>
                <w:rFonts w:ascii="Tahoma" w:hAnsi="Tahoma" w:cs="Tahoma"/>
                <w:sz w:val="20"/>
                <w:szCs w:val="20"/>
              </w:rPr>
              <w:br/>
              <w:t xml:space="preserve">Work: </w:t>
            </w:r>
            <w:hyperlink r:id="rId69" w:tgtFrame="_blank" w:history="1">
              <w:r w:rsidR="000124E4" w:rsidRPr="000124E4">
                <w:rPr>
                  <w:rStyle w:val="Hyperlink"/>
                  <w:rFonts w:ascii="Tahoma" w:hAnsi="Tahoma" w:cs="Tahoma"/>
                  <w:sz w:val="20"/>
                  <w:szCs w:val="20"/>
                </w:rPr>
                <w:t>808-687-6148</w:t>
              </w:r>
            </w:hyperlink>
            <w:r w:rsidR="000124E4" w:rsidRPr="000124E4">
              <w:rPr>
                <w:rFonts w:ascii="Tahoma" w:hAnsi="Tahoma" w:cs="Tahoma"/>
                <w:sz w:val="20"/>
                <w:szCs w:val="20"/>
              </w:rPr>
              <w:t xml:space="preserve"> </w:t>
            </w:r>
          </w:p>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 xml:space="preserve">Cell: </w:t>
            </w:r>
            <w:hyperlink r:id="rId70" w:tgtFrame="_blank" w:history="1">
              <w:r w:rsidRPr="000124E4">
                <w:rPr>
                  <w:rStyle w:val="Hyperlink"/>
                  <w:rFonts w:ascii="Tahoma" w:hAnsi="Tahoma" w:cs="Tahoma"/>
                  <w:sz w:val="20"/>
                  <w:szCs w:val="20"/>
                </w:rPr>
                <w:t>808-343-0223</w:t>
              </w:r>
            </w:hyperlink>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Environmental policy and management</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 xml:space="preserve">Scot </w:t>
            </w:r>
            <w:proofErr w:type="spellStart"/>
            <w:r w:rsidRPr="000124E4">
              <w:rPr>
                <w:rFonts w:ascii="Tahoma" w:hAnsi="Tahoma" w:cs="Tahoma"/>
                <w:sz w:val="20"/>
                <w:szCs w:val="20"/>
              </w:rPr>
              <w:t>Izuka</w:t>
            </w:r>
            <w:proofErr w:type="spellEnd"/>
            <w:r w:rsidRPr="000124E4">
              <w:rPr>
                <w:rFonts w:ascii="Tahoma" w:hAnsi="Tahoma" w:cs="Tahoma"/>
                <w:sz w:val="20"/>
                <w:szCs w:val="20"/>
              </w:rPr>
              <w:t>,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USGS Pacific Islands Water Science Center</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71" w:tgtFrame="_blank" w:history="1">
              <w:r w:rsidR="000124E4" w:rsidRPr="000124E4">
                <w:rPr>
                  <w:rStyle w:val="Hyperlink"/>
                  <w:rFonts w:ascii="Tahoma" w:hAnsi="Tahoma" w:cs="Tahoma"/>
                  <w:sz w:val="20"/>
                  <w:szCs w:val="20"/>
                </w:rPr>
                <w:t>skizuka@usgs.gov</w:t>
              </w:r>
            </w:hyperlink>
            <w:r w:rsidR="000124E4" w:rsidRPr="000124E4">
              <w:rPr>
                <w:rFonts w:ascii="Tahoma" w:hAnsi="Tahoma" w:cs="Tahoma"/>
                <w:sz w:val="20"/>
                <w:szCs w:val="20"/>
              </w:rPr>
              <w:br/>
              <w:t xml:space="preserve">Work: </w:t>
            </w:r>
            <w:hyperlink r:id="rId72" w:tgtFrame="_blank" w:history="1">
              <w:r w:rsidR="000124E4" w:rsidRPr="000124E4">
                <w:rPr>
                  <w:rStyle w:val="Hyperlink"/>
                  <w:rFonts w:ascii="Tahoma" w:hAnsi="Tahoma" w:cs="Tahoma"/>
                  <w:sz w:val="20"/>
                  <w:szCs w:val="20"/>
                </w:rPr>
                <w:t>808-587-2415</w:t>
              </w:r>
            </w:hyperlink>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Hydrology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Stephen Anthony</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USGS Pacific Islands Water Science Center</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73" w:tgtFrame="_blank" w:history="1">
              <w:r w:rsidR="000124E4" w:rsidRPr="000124E4">
                <w:rPr>
                  <w:rStyle w:val="Hyperlink"/>
                  <w:rFonts w:ascii="Tahoma" w:hAnsi="Tahoma" w:cs="Tahoma"/>
                  <w:sz w:val="20"/>
                  <w:szCs w:val="20"/>
                </w:rPr>
                <w:t>santhony@usgs.gov</w:t>
              </w:r>
            </w:hyperlink>
            <w:r w:rsidR="000124E4" w:rsidRPr="000124E4">
              <w:rPr>
                <w:rFonts w:ascii="Tahoma" w:hAnsi="Tahoma" w:cs="Tahoma"/>
                <w:sz w:val="20"/>
                <w:szCs w:val="20"/>
              </w:rPr>
              <w:br/>
              <w:t xml:space="preserve">Work: </w:t>
            </w:r>
            <w:hyperlink r:id="rId74" w:tgtFrame="_blank" w:history="1">
              <w:r w:rsidR="000124E4" w:rsidRPr="000124E4">
                <w:rPr>
                  <w:rStyle w:val="Hyperlink"/>
                  <w:rFonts w:ascii="Tahoma" w:hAnsi="Tahoma" w:cs="Tahoma"/>
                  <w:sz w:val="20"/>
                  <w:szCs w:val="20"/>
                </w:rPr>
                <w:t>808-587-2406</w:t>
              </w:r>
            </w:hyperlink>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Hydrology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Mark Merrifield,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University of Hawai‘i</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75" w:tgtFrame="_blank" w:history="1">
              <w:r w:rsidR="000124E4" w:rsidRPr="000124E4">
                <w:rPr>
                  <w:rStyle w:val="Hyperlink"/>
                  <w:rFonts w:ascii="Tahoma" w:hAnsi="Tahoma" w:cs="Tahoma"/>
                  <w:sz w:val="20"/>
                  <w:szCs w:val="20"/>
                </w:rPr>
                <w:t>markm@soest.hawaii.edu</w:t>
              </w:r>
            </w:hyperlink>
            <w:r w:rsidR="000124E4" w:rsidRPr="000124E4">
              <w:rPr>
                <w:rFonts w:ascii="Tahoma" w:hAnsi="Tahoma" w:cs="Tahoma"/>
                <w:sz w:val="20"/>
                <w:szCs w:val="20"/>
              </w:rPr>
              <w:t xml:space="preserve"> </w:t>
            </w:r>
            <w:r w:rsidR="000124E4" w:rsidRPr="000124E4">
              <w:rPr>
                <w:rFonts w:ascii="Tahoma" w:hAnsi="Tahoma" w:cs="Tahoma"/>
                <w:sz w:val="20"/>
                <w:szCs w:val="20"/>
              </w:rPr>
              <w:br/>
              <w:t>Work: 808-956-6161 </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Oceanography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William Sweet,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NOAA</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76" w:tgtFrame="_blank" w:history="1">
              <w:r w:rsidR="000124E4" w:rsidRPr="000124E4">
                <w:rPr>
                  <w:rStyle w:val="Hyperlink"/>
                  <w:rFonts w:ascii="Tahoma" w:hAnsi="Tahoma" w:cs="Tahoma"/>
                  <w:sz w:val="20"/>
                  <w:szCs w:val="20"/>
                </w:rPr>
                <w:t>William.Sweet@noaa.gov</w:t>
              </w:r>
            </w:hyperlink>
            <w:r w:rsidR="000124E4" w:rsidRPr="000124E4">
              <w:rPr>
                <w:rFonts w:ascii="Tahoma" w:hAnsi="Tahoma" w:cs="Tahoma"/>
                <w:sz w:val="20"/>
                <w:szCs w:val="20"/>
              </w:rPr>
              <w:br/>
              <w:t>Work: 808-944-7672</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Oceanography</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Stephen Miller, PhD</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US Fish and Wildlife Service</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77" w:tgtFrame="_blank" w:history="1">
              <w:r w:rsidR="000124E4" w:rsidRPr="000124E4">
                <w:rPr>
                  <w:rStyle w:val="Hyperlink"/>
                  <w:rFonts w:ascii="Tahoma" w:hAnsi="Tahoma" w:cs="Tahoma"/>
                  <w:sz w:val="20"/>
                  <w:szCs w:val="20"/>
                </w:rPr>
                <w:t>Stephen_E_Miller@fws.gov</w:t>
              </w:r>
            </w:hyperlink>
            <w:r w:rsidR="000124E4" w:rsidRPr="000124E4">
              <w:rPr>
                <w:rFonts w:ascii="Tahoma" w:hAnsi="Tahoma" w:cs="Tahoma"/>
                <w:sz w:val="20"/>
                <w:szCs w:val="20"/>
              </w:rPr>
              <w:br/>
              <w:t>Work: 808-792-9400</w:t>
            </w:r>
            <w:r w:rsidR="000124E4" w:rsidRPr="000124E4">
              <w:rPr>
                <w:rFonts w:ascii="Tahoma" w:hAnsi="Tahoma" w:cs="Tahoma"/>
                <w:sz w:val="20"/>
                <w:szCs w:val="20"/>
              </w:rPr>
              <w:br/>
              <w:t>Cell: 808-349-0544</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Conservation of ecosystems and endangered species</w:t>
            </w:r>
          </w:p>
        </w:tc>
      </w:tr>
      <w:tr w:rsidR="000124E4" w:rsidRPr="000124E4" w:rsidTr="000124E4">
        <w:tc>
          <w:tcPr>
            <w:tcW w:w="1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 xml:space="preserve">Britt Parker </w:t>
            </w:r>
          </w:p>
        </w:tc>
        <w:tc>
          <w:tcPr>
            <w:tcW w:w="1757"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NOAA</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8645BB" w:rsidP="00695568">
            <w:pPr>
              <w:spacing w:before="100" w:beforeAutospacing="1"/>
              <w:rPr>
                <w:rFonts w:ascii="Tahoma" w:hAnsi="Tahoma" w:cs="Tahoma"/>
                <w:sz w:val="20"/>
                <w:szCs w:val="20"/>
              </w:rPr>
            </w:pPr>
            <w:hyperlink r:id="rId78" w:tgtFrame="_blank" w:history="1">
              <w:r w:rsidR="000124E4" w:rsidRPr="000124E4">
                <w:rPr>
                  <w:rStyle w:val="Hyperlink"/>
                  <w:rFonts w:ascii="Tahoma" w:hAnsi="Tahoma" w:cs="Tahoma"/>
                  <w:sz w:val="20"/>
                  <w:szCs w:val="20"/>
                </w:rPr>
                <w:t>Britt.Parker@noaa.gov</w:t>
              </w:r>
            </w:hyperlink>
            <w:r w:rsidR="000124E4" w:rsidRPr="000124E4">
              <w:rPr>
                <w:rFonts w:ascii="Tahoma" w:hAnsi="Tahoma" w:cs="Tahoma"/>
                <w:sz w:val="20"/>
                <w:szCs w:val="20"/>
              </w:rPr>
              <w:br/>
              <w:t>Work: 301-713-3020 x155</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rsidR="000124E4" w:rsidRPr="000124E4" w:rsidRDefault="000124E4" w:rsidP="00695568">
            <w:pPr>
              <w:spacing w:before="100" w:beforeAutospacing="1"/>
              <w:rPr>
                <w:rFonts w:ascii="Tahoma" w:hAnsi="Tahoma" w:cs="Tahoma"/>
                <w:sz w:val="20"/>
                <w:szCs w:val="20"/>
              </w:rPr>
            </w:pPr>
            <w:r w:rsidRPr="000124E4">
              <w:rPr>
                <w:rFonts w:ascii="Tahoma" w:hAnsi="Tahoma" w:cs="Tahoma"/>
                <w:sz w:val="20"/>
                <w:szCs w:val="20"/>
              </w:rPr>
              <w:t>Coral reefs</w:t>
            </w:r>
          </w:p>
        </w:tc>
      </w:tr>
    </w:tbl>
    <w:p w:rsidR="000124E4" w:rsidRPr="000124E4" w:rsidRDefault="000124E4" w:rsidP="000124E4">
      <w:pPr>
        <w:spacing w:before="100" w:beforeAutospacing="1"/>
        <w:rPr>
          <w:rFonts w:ascii="Tahoma" w:hAnsi="Tahoma" w:cs="Tahoma"/>
          <w:color w:val="000000"/>
          <w:sz w:val="20"/>
          <w:szCs w:val="20"/>
          <w:lang w:val="en-US"/>
        </w:rPr>
      </w:pPr>
      <w:r w:rsidRPr="000124E4">
        <w:rPr>
          <w:rFonts w:ascii="Tahoma" w:hAnsi="Tahoma" w:cs="Tahoma"/>
          <w:color w:val="000000"/>
          <w:sz w:val="20"/>
          <w:szCs w:val="20"/>
          <w:lang w:val="en-US"/>
        </w:rPr>
        <w:t>Primary responsibility for the PIRCA report is shared by the Pacific Regional Integrated Sciences and Assessments (Pacific RISA) program, funded by the US National Oceanic and Atmospheric Administration (NOAA) and supported by the East-West Center; NOAA’s National Environmental Satellite, Data, and Information Service (NESDIS) and National Climatic Data Center (NCDC); the Pacific Climate Information System (</w:t>
      </w:r>
      <w:proofErr w:type="spellStart"/>
      <w:r w:rsidRPr="000124E4">
        <w:rPr>
          <w:rFonts w:ascii="Tahoma" w:hAnsi="Tahoma" w:cs="Tahoma"/>
          <w:color w:val="000000"/>
          <w:sz w:val="20"/>
          <w:szCs w:val="20"/>
          <w:lang w:val="en-US"/>
        </w:rPr>
        <w:t>PaCIS</w:t>
      </w:r>
      <w:proofErr w:type="spellEnd"/>
      <w:r w:rsidRPr="000124E4">
        <w:rPr>
          <w:rFonts w:ascii="Tahoma" w:hAnsi="Tahoma" w:cs="Tahoma"/>
          <w:color w:val="000000"/>
          <w:sz w:val="20"/>
          <w:szCs w:val="20"/>
          <w:lang w:val="en-US"/>
        </w:rPr>
        <w:t xml:space="preserve">); and the Pacific Islands Climate Change Cooperative (PICCC),funded by the Department of Interior’s US Fish and Wildlife Service, National Park Service, and US Geological Survey. </w:t>
      </w:r>
      <w:r w:rsidRPr="000124E4">
        <w:rPr>
          <w:rFonts w:ascii="Tahoma" w:hAnsi="Tahoma" w:cs="Tahoma"/>
          <w:i/>
          <w:iCs/>
          <w:color w:val="000000"/>
          <w:sz w:val="20"/>
          <w:szCs w:val="20"/>
          <w:lang w:val="en-US"/>
        </w:rPr>
        <w:t xml:space="preserve">Climate Change and Pacific Islands: Indicators and Impacts </w:t>
      </w:r>
      <w:r w:rsidRPr="000124E4">
        <w:rPr>
          <w:rFonts w:ascii="Tahoma" w:hAnsi="Tahoma" w:cs="Tahoma"/>
          <w:color w:val="000000"/>
          <w:sz w:val="20"/>
          <w:szCs w:val="20"/>
          <w:lang w:val="en-US"/>
        </w:rPr>
        <w:t xml:space="preserve">is available for download at </w:t>
      </w:r>
      <w:hyperlink r:id="rId79" w:tgtFrame="_blank" w:history="1">
        <w:r w:rsidRPr="000124E4">
          <w:rPr>
            <w:rStyle w:val="Hyperlink"/>
            <w:rFonts w:ascii="Tahoma" w:hAnsi="Tahoma" w:cs="Tahoma"/>
            <w:i/>
            <w:iCs/>
            <w:sz w:val="20"/>
            <w:szCs w:val="20"/>
            <w:lang w:val="en-US"/>
          </w:rPr>
          <w:t>www.EastWestCenter.org/PIRCA</w:t>
        </w:r>
      </w:hyperlink>
      <w:r w:rsidRPr="000124E4">
        <w:rPr>
          <w:rFonts w:ascii="Tahoma" w:hAnsi="Tahoma" w:cs="Tahoma"/>
          <w:color w:val="000000"/>
          <w:sz w:val="20"/>
          <w:szCs w:val="20"/>
          <w:lang w:val="en-US"/>
        </w:rPr>
        <w:t xml:space="preserve"> and hardcopies are available upon request through Pacific RISA.  For more information, please contact </w:t>
      </w:r>
      <w:hyperlink r:id="rId80" w:tgtFrame="_blank" w:history="1">
        <w:r w:rsidRPr="000124E4">
          <w:rPr>
            <w:rStyle w:val="Hyperlink"/>
            <w:rFonts w:ascii="Tahoma" w:hAnsi="Tahoma" w:cs="Tahoma"/>
            <w:i/>
            <w:iCs/>
            <w:sz w:val="20"/>
            <w:szCs w:val="20"/>
            <w:lang w:val="en-US"/>
          </w:rPr>
          <w:t>info@PacificRISA.</w:t>
        </w:r>
        <w:r w:rsidRPr="000124E4">
          <w:rPr>
            <w:rStyle w:val="Hyperlink"/>
            <w:rFonts w:ascii="Tahoma" w:hAnsi="Tahoma" w:cs="Tahoma"/>
            <w:sz w:val="20"/>
            <w:szCs w:val="20"/>
            <w:lang w:val="en-US"/>
          </w:rPr>
          <w:t>org</w:t>
        </w:r>
      </w:hyperlink>
      <w:r w:rsidRPr="000124E4">
        <w:rPr>
          <w:rFonts w:ascii="Tahoma" w:hAnsi="Tahoma" w:cs="Tahoma"/>
          <w:color w:val="000000"/>
          <w:sz w:val="20"/>
          <w:szCs w:val="20"/>
          <w:lang w:val="en-US"/>
        </w:rPr>
        <w:t xml:space="preserve">. </w:t>
      </w:r>
    </w:p>
    <w:p w:rsidR="000124E4" w:rsidRPr="000124E4" w:rsidRDefault="000124E4" w:rsidP="000124E4">
      <w:pPr>
        <w:pStyle w:val="NormalWeb"/>
        <w:rPr>
          <w:rFonts w:ascii="Tahoma" w:hAnsi="Tahoma" w:cs="Tahoma"/>
          <w:color w:val="000000"/>
          <w:sz w:val="20"/>
          <w:szCs w:val="20"/>
          <w:lang w:val="en-US"/>
        </w:rPr>
      </w:pPr>
      <w:r w:rsidRPr="000124E4">
        <w:rPr>
          <w:rFonts w:ascii="Tahoma" w:hAnsi="Tahoma" w:cs="Tahoma"/>
          <w:color w:val="000000"/>
          <w:sz w:val="20"/>
          <w:szCs w:val="20"/>
          <w:lang w:val="en-US"/>
        </w:rPr>
        <w:t xml:space="preserve">The </w:t>
      </w:r>
      <w:hyperlink r:id="rId81" w:tgtFrame="_blank" w:tooltip="http://eastwestcenter.org/" w:history="1">
        <w:r w:rsidRPr="000124E4">
          <w:rPr>
            <w:rStyle w:val="Hyperlink"/>
            <w:rFonts w:ascii="Tahoma" w:hAnsi="Tahoma" w:cs="Tahoma"/>
            <w:sz w:val="20"/>
            <w:szCs w:val="20"/>
            <w:lang w:val="en-US"/>
          </w:rPr>
          <w:t>EAST-WEST CENTER</w:t>
        </w:r>
      </w:hyperlink>
      <w:r w:rsidRPr="000124E4">
        <w:rPr>
          <w:rFonts w:ascii="Tahoma" w:hAnsi="Tahoma" w:cs="Tahoma"/>
          <w:color w:val="000000"/>
          <w:sz w:val="20"/>
          <w:szCs w:val="20"/>
          <w:lang w:val="en-US"/>
        </w:rPr>
        <w:t xml:space="preserve"> promotes better relations and understanding among the people and nations of the United States, Asia, and the Pacific through cooperative study, research, and dialogue. Established by the U.S. Congress in 1960, the Center serves as a resource for information and analysis on critical issues of common concern, bringing people together to exchange views, build expertise, and develop policy options.</w:t>
      </w:r>
    </w:p>
    <w:p w:rsidR="00695568" w:rsidRPr="000E012D" w:rsidRDefault="00695568" w:rsidP="00695568">
      <w:pPr>
        <w:spacing w:line="336" w:lineRule="atLeast"/>
        <w:rPr>
          <w:rFonts w:ascii="Tahoma" w:eastAsia="Times New Roman" w:hAnsi="Tahoma" w:cs="Tahoma"/>
          <w:b/>
          <w:color w:val="4F6228" w:themeColor="accent3" w:themeShade="80"/>
          <w:sz w:val="28"/>
          <w:szCs w:val="20"/>
        </w:rPr>
      </w:pPr>
      <w:bookmarkStart w:id="14" w:name="Globalfoodcrisiswillworsenasheatwavesdma"/>
      <w:r w:rsidRPr="000E012D">
        <w:rPr>
          <w:rFonts w:ascii="Tahoma" w:hAnsi="Tahoma" w:cs="Tahoma"/>
          <w:b/>
          <w:color w:val="4F6228" w:themeColor="accent3" w:themeShade="80"/>
          <w:sz w:val="28"/>
          <w:szCs w:val="20"/>
        </w:rPr>
        <w:t>Global food crisis will worsen as heatwaves damage crops</w:t>
      </w:r>
      <w:r w:rsidRPr="000E012D">
        <w:rPr>
          <w:rFonts w:ascii="Tahoma" w:eastAsia="Times New Roman" w:hAnsi="Tahoma" w:cs="Tahoma"/>
          <w:b/>
          <w:color w:val="4F6228" w:themeColor="accent3" w:themeShade="80"/>
          <w:sz w:val="28"/>
          <w:szCs w:val="20"/>
        </w:rPr>
        <w:t xml:space="preserve"> </w:t>
      </w:r>
    </w:p>
    <w:bookmarkEnd w:id="14"/>
    <w:p w:rsidR="00695568" w:rsidRPr="00695568" w:rsidRDefault="00695568" w:rsidP="00695568">
      <w:pPr>
        <w:spacing w:line="336" w:lineRule="auto"/>
        <w:rPr>
          <w:rFonts w:ascii="Tahoma" w:eastAsia="Times New Roman" w:hAnsi="Tahoma" w:cs="Tahoma"/>
          <w:color w:val="555555"/>
          <w:sz w:val="20"/>
          <w:szCs w:val="20"/>
        </w:rPr>
      </w:pPr>
      <w:r w:rsidRPr="00695568">
        <w:rPr>
          <w:rFonts w:ascii="Tahoma" w:eastAsia="Times New Roman" w:hAnsi="Tahoma" w:cs="Tahoma"/>
          <w:color w:val="555555"/>
          <w:sz w:val="20"/>
          <w:szCs w:val="20"/>
        </w:rPr>
        <w:t>Posted: 14 Jan 2013 03:44 AM PST</w:t>
      </w:r>
    </w:p>
    <w:p w:rsidR="00695568" w:rsidRPr="00695568" w:rsidRDefault="00695568" w:rsidP="00695568">
      <w:pPr>
        <w:spacing w:line="336" w:lineRule="auto"/>
        <w:rPr>
          <w:rFonts w:ascii="Tahoma" w:eastAsia="Times New Roman" w:hAnsi="Tahoma" w:cs="Tahoma"/>
          <w:sz w:val="20"/>
          <w:szCs w:val="20"/>
        </w:rPr>
      </w:pPr>
      <w:r w:rsidRPr="00695568">
        <w:rPr>
          <w:rFonts w:ascii="Tahoma" w:eastAsia="Times New Roman" w:hAnsi="Tahoma" w:cs="Tahoma"/>
          <w:sz w:val="20"/>
          <w:szCs w:val="20"/>
        </w:rPr>
        <w:lastRenderedPageBreak/>
        <w:t>Nature Climate Change</w:t>
      </w:r>
    </w:p>
    <w:p w:rsidR="00695568" w:rsidRDefault="00695568" w:rsidP="00695568">
      <w:pPr>
        <w:spacing w:line="336" w:lineRule="auto"/>
        <w:rPr>
          <w:rFonts w:ascii="Tahoma" w:eastAsia="Times New Roman" w:hAnsi="Tahoma" w:cs="Tahoma"/>
          <w:sz w:val="20"/>
          <w:szCs w:val="20"/>
        </w:rPr>
      </w:pPr>
      <w:r w:rsidRPr="00695568">
        <w:rPr>
          <w:rFonts w:ascii="Tahoma" w:eastAsia="Times New Roman" w:hAnsi="Tahoma" w:cs="Tahoma"/>
          <w:sz w:val="20"/>
          <w:szCs w:val="20"/>
        </w:rPr>
        <w:t>CGIAR Climate's insight:</w:t>
      </w:r>
      <w:r w:rsidR="000E012D">
        <w:rPr>
          <w:rFonts w:ascii="Tahoma" w:eastAsia="Times New Roman" w:hAnsi="Tahoma" w:cs="Tahoma"/>
          <w:sz w:val="20"/>
          <w:szCs w:val="20"/>
        </w:rPr>
        <w:t xml:space="preserve"> </w:t>
      </w:r>
      <w:r w:rsidRPr="00695568">
        <w:rPr>
          <w:rFonts w:ascii="Tahoma" w:eastAsia="Times New Roman" w:hAnsi="Tahoma" w:cs="Tahoma"/>
          <w:sz w:val="20"/>
          <w:szCs w:val="20"/>
        </w:rPr>
        <w:t>A global assessment of the effects of climate policy on the impacts of climate change</w:t>
      </w:r>
      <w:r w:rsidR="000E012D">
        <w:rPr>
          <w:rFonts w:ascii="Tahoma" w:eastAsia="Times New Roman" w:hAnsi="Tahoma" w:cs="Tahoma"/>
          <w:sz w:val="20"/>
          <w:szCs w:val="20"/>
        </w:rPr>
        <w:t xml:space="preserve"> </w:t>
      </w:r>
      <w:r w:rsidRPr="00695568">
        <w:rPr>
          <w:rFonts w:ascii="Tahoma" w:eastAsia="Times New Roman" w:hAnsi="Tahoma" w:cs="Tahoma"/>
          <w:sz w:val="20"/>
          <w:szCs w:val="20"/>
        </w:rPr>
        <w:t>Nature Climate Change</w:t>
      </w:r>
      <w:r w:rsidR="00C239BE">
        <w:rPr>
          <w:rFonts w:ascii="Tahoma" w:eastAsia="Times New Roman" w:hAnsi="Tahoma" w:cs="Tahoma"/>
          <w:sz w:val="20"/>
          <w:szCs w:val="20"/>
        </w:rPr>
        <w:t xml:space="preserve"> </w:t>
      </w:r>
      <w:r w:rsidRPr="00695568">
        <w:rPr>
          <w:rFonts w:ascii="Tahoma" w:eastAsia="Times New Roman" w:hAnsi="Tahoma" w:cs="Tahoma"/>
          <w:sz w:val="20"/>
          <w:szCs w:val="20"/>
        </w:rPr>
        <w:t xml:space="preserve">(2013) </w:t>
      </w:r>
    </w:p>
    <w:p w:rsidR="000E012D" w:rsidRPr="006972CB" w:rsidRDefault="008645BB" w:rsidP="00695568">
      <w:pPr>
        <w:spacing w:line="336" w:lineRule="auto"/>
        <w:rPr>
          <w:rFonts w:ascii="Tahoma" w:eastAsia="Times New Roman" w:hAnsi="Tahoma" w:cs="Tahoma"/>
          <w:sz w:val="20"/>
          <w:szCs w:val="20"/>
        </w:rPr>
      </w:pPr>
      <w:hyperlink r:id="rId82" w:tgtFrame="_blank" w:history="1">
        <w:r w:rsidR="000E012D" w:rsidRPr="006972CB">
          <w:rPr>
            <w:rStyle w:val="Hyperlink"/>
            <w:rFonts w:ascii="Tahoma" w:hAnsi="Tahoma" w:cs="Tahoma"/>
            <w:sz w:val="20"/>
            <w:szCs w:val="20"/>
          </w:rPr>
          <w:t>Global food crisis will worsen as heatwaves damage crops</w:t>
        </w:r>
      </w:hyperlink>
    </w:p>
    <w:p w:rsidR="00695568" w:rsidRPr="006972CB" w:rsidRDefault="008645BB" w:rsidP="00695568">
      <w:pPr>
        <w:spacing w:line="336" w:lineRule="auto"/>
        <w:rPr>
          <w:rFonts w:ascii="Tahoma" w:eastAsia="Times New Roman" w:hAnsi="Tahoma" w:cs="Tahoma"/>
          <w:sz w:val="20"/>
          <w:szCs w:val="20"/>
        </w:rPr>
      </w:pPr>
      <w:hyperlink r:id="rId83" w:tgtFrame="_blank" w:history="1">
        <w:r w:rsidR="00695568" w:rsidRPr="006972CB">
          <w:rPr>
            <w:rStyle w:val="Hyperlink"/>
            <w:rFonts w:ascii="Tahoma" w:hAnsi="Tahoma" w:cs="Tahoma"/>
            <w:sz w:val="20"/>
            <w:szCs w:val="20"/>
          </w:rPr>
          <w:t xml:space="preserve">See it on </w:t>
        </w:r>
        <w:r w:rsidR="000E012D" w:rsidRPr="006972CB">
          <w:rPr>
            <w:rStyle w:val="Hyperlink"/>
            <w:rFonts w:ascii="Tahoma" w:hAnsi="Tahoma" w:cs="Tahoma"/>
            <w:sz w:val="20"/>
            <w:szCs w:val="20"/>
          </w:rPr>
          <w:t>Scoop. It</w:t>
        </w:r>
      </w:hyperlink>
      <w:r w:rsidR="00695568" w:rsidRPr="006972CB">
        <w:rPr>
          <w:rFonts w:ascii="Tahoma" w:eastAsia="Times New Roman" w:hAnsi="Tahoma" w:cs="Tahoma"/>
          <w:sz w:val="20"/>
          <w:szCs w:val="20"/>
        </w:rPr>
        <w:t xml:space="preserve">, via </w:t>
      </w:r>
      <w:hyperlink r:id="rId84" w:tgtFrame="_blank" w:history="1">
        <w:r w:rsidR="00695568" w:rsidRPr="006972CB">
          <w:rPr>
            <w:rStyle w:val="Hyperlink"/>
            <w:rFonts w:ascii="Tahoma" w:hAnsi="Tahoma" w:cs="Tahoma"/>
            <w:sz w:val="20"/>
            <w:szCs w:val="20"/>
          </w:rPr>
          <w:t>Climate Change, Agriculture &amp; Food Security</w:t>
        </w:r>
      </w:hyperlink>
    </w:p>
    <w:p w:rsidR="006972CB" w:rsidRPr="006972CB" w:rsidRDefault="006972CB" w:rsidP="006972CB">
      <w:pPr>
        <w:spacing w:line="336" w:lineRule="atLeast"/>
        <w:rPr>
          <w:rFonts w:ascii="Tahoma" w:eastAsia="Times New Roman" w:hAnsi="Tahoma" w:cs="Tahoma"/>
          <w:b/>
          <w:color w:val="4F6228" w:themeColor="accent3" w:themeShade="80"/>
          <w:sz w:val="28"/>
          <w:szCs w:val="20"/>
        </w:rPr>
      </w:pPr>
      <w:bookmarkStart w:id="15" w:name="WorldwatchReport188InnovationsSustainabl"/>
      <w:r w:rsidRPr="006972CB">
        <w:rPr>
          <w:rFonts w:ascii="Tahoma" w:hAnsi="Tahoma" w:cs="Tahoma"/>
          <w:b/>
          <w:color w:val="4F6228" w:themeColor="accent3" w:themeShade="80"/>
          <w:sz w:val="28"/>
          <w:szCs w:val="20"/>
        </w:rPr>
        <w:t>Worldwatch Report #188: Innovations in Sustainable Agriculture: Supporting Climate-Friendly Food Production | Worldwatch Institute</w:t>
      </w:r>
      <w:r w:rsidRPr="006972CB">
        <w:rPr>
          <w:rFonts w:ascii="Tahoma" w:eastAsia="Times New Roman" w:hAnsi="Tahoma" w:cs="Tahoma"/>
          <w:b/>
          <w:color w:val="4F6228" w:themeColor="accent3" w:themeShade="80"/>
          <w:sz w:val="28"/>
          <w:szCs w:val="20"/>
        </w:rPr>
        <w:t xml:space="preserve"> </w:t>
      </w:r>
    </w:p>
    <w:bookmarkEnd w:id="15"/>
    <w:p w:rsidR="006972CB" w:rsidRPr="006972CB" w:rsidRDefault="006972CB" w:rsidP="006972CB">
      <w:pPr>
        <w:spacing w:line="336" w:lineRule="auto"/>
        <w:rPr>
          <w:rFonts w:ascii="Tahoma" w:eastAsia="Times New Roman" w:hAnsi="Tahoma" w:cs="Tahoma"/>
          <w:color w:val="555555"/>
          <w:sz w:val="20"/>
          <w:szCs w:val="20"/>
        </w:rPr>
      </w:pPr>
      <w:r w:rsidRPr="006972CB">
        <w:rPr>
          <w:rFonts w:ascii="Tahoma" w:eastAsia="Times New Roman" w:hAnsi="Tahoma" w:cs="Tahoma"/>
          <w:color w:val="555555"/>
          <w:sz w:val="20"/>
          <w:szCs w:val="20"/>
        </w:rPr>
        <w:t>Posted: 16 Jan 2013 05:53 AM PST</w:t>
      </w:r>
    </w:p>
    <w:p w:rsidR="006972CB" w:rsidRDefault="006972CB" w:rsidP="006972CB">
      <w:pPr>
        <w:spacing w:line="336" w:lineRule="auto"/>
        <w:rPr>
          <w:rFonts w:ascii="Tahoma" w:eastAsia="Times New Roman" w:hAnsi="Tahoma" w:cs="Tahoma"/>
          <w:sz w:val="20"/>
          <w:szCs w:val="20"/>
        </w:rPr>
      </w:pPr>
      <w:proofErr w:type="gramStart"/>
      <w:r w:rsidRPr="006972CB">
        <w:rPr>
          <w:rFonts w:ascii="Tahoma" w:eastAsia="Times New Roman" w:hAnsi="Tahoma" w:cs="Tahoma"/>
          <w:sz w:val="20"/>
          <w:szCs w:val="20"/>
        </w:rPr>
        <w:t>by</w:t>
      </w:r>
      <w:proofErr w:type="gramEnd"/>
      <w:r w:rsidRPr="006972CB">
        <w:rPr>
          <w:rFonts w:ascii="Tahoma" w:eastAsia="Times New Roman" w:hAnsi="Tahoma" w:cs="Tahoma"/>
          <w:sz w:val="20"/>
          <w:szCs w:val="20"/>
        </w:rPr>
        <w:t xml:space="preserve"> Danielle Nierenberg and Laura Reynolds</w:t>
      </w:r>
    </w:p>
    <w:p w:rsidR="006972CB" w:rsidRPr="006972CB" w:rsidRDefault="008645BB" w:rsidP="006972CB">
      <w:pPr>
        <w:spacing w:line="336" w:lineRule="auto"/>
        <w:rPr>
          <w:rFonts w:ascii="Tahoma" w:eastAsia="Times New Roman" w:hAnsi="Tahoma" w:cs="Tahoma"/>
          <w:sz w:val="20"/>
          <w:szCs w:val="20"/>
        </w:rPr>
      </w:pPr>
      <w:hyperlink r:id="rId85" w:tgtFrame="_blank" w:history="1">
        <w:r w:rsidR="006972CB" w:rsidRPr="006972CB">
          <w:rPr>
            <w:rStyle w:val="Hyperlink"/>
            <w:rFonts w:ascii="Tahoma" w:hAnsi="Tahoma" w:cs="Tahoma"/>
            <w:sz w:val="20"/>
            <w:szCs w:val="20"/>
          </w:rPr>
          <w:t>Worldwatch Report #188: Innovations in Sustainable Agriculture: Supporting Climate-Friendly Food Production | Worldwatch Institute</w:t>
        </w:r>
      </w:hyperlink>
    </w:p>
    <w:p w:rsidR="006972CB" w:rsidRDefault="008645BB" w:rsidP="006972CB">
      <w:pPr>
        <w:spacing w:line="336" w:lineRule="auto"/>
        <w:rPr>
          <w:rFonts w:ascii="Tahoma" w:eastAsia="Times New Roman" w:hAnsi="Tahoma" w:cs="Tahoma"/>
          <w:sz w:val="20"/>
          <w:szCs w:val="20"/>
        </w:rPr>
      </w:pPr>
      <w:hyperlink r:id="rId86" w:tgtFrame="_blank" w:history="1">
        <w:r w:rsidR="006972CB" w:rsidRPr="006972CB">
          <w:rPr>
            <w:rStyle w:val="Hyperlink"/>
            <w:rFonts w:ascii="Tahoma" w:hAnsi="Tahoma" w:cs="Tahoma"/>
            <w:sz w:val="20"/>
            <w:szCs w:val="20"/>
          </w:rPr>
          <w:t xml:space="preserve">See it on </w:t>
        </w:r>
        <w:proofErr w:type="spellStart"/>
        <w:r w:rsidR="006972CB" w:rsidRPr="006972CB">
          <w:rPr>
            <w:rStyle w:val="Hyperlink"/>
            <w:rFonts w:ascii="Tahoma" w:hAnsi="Tahoma" w:cs="Tahoma"/>
            <w:sz w:val="20"/>
            <w:szCs w:val="20"/>
          </w:rPr>
          <w:t>Scoop.it</w:t>
        </w:r>
        <w:proofErr w:type="spellEnd"/>
      </w:hyperlink>
      <w:r w:rsidR="006972CB" w:rsidRPr="006972CB">
        <w:rPr>
          <w:rFonts w:ascii="Tahoma" w:eastAsia="Times New Roman" w:hAnsi="Tahoma" w:cs="Tahoma"/>
          <w:sz w:val="20"/>
          <w:szCs w:val="20"/>
        </w:rPr>
        <w:t xml:space="preserve">, via </w:t>
      </w:r>
      <w:hyperlink r:id="rId87" w:tgtFrame="_blank" w:history="1">
        <w:r w:rsidR="006972CB" w:rsidRPr="006972CB">
          <w:rPr>
            <w:rStyle w:val="Hyperlink"/>
            <w:rFonts w:ascii="Tahoma" w:hAnsi="Tahoma" w:cs="Tahoma"/>
            <w:sz w:val="20"/>
            <w:szCs w:val="20"/>
          </w:rPr>
          <w:t>Climate Change, Agriculture &amp; Food Security</w:t>
        </w:r>
      </w:hyperlink>
    </w:p>
    <w:p w:rsidR="007A0296" w:rsidRPr="007A0296" w:rsidRDefault="007A0296" w:rsidP="007A0296">
      <w:pPr>
        <w:shd w:val="clear" w:color="auto" w:fill="FFFFFF"/>
        <w:rPr>
          <w:rFonts w:ascii="Tahoma" w:eastAsia="Times New Roman" w:hAnsi="Tahoma" w:cs="Tahoma"/>
          <w:b/>
          <w:color w:val="4F6228" w:themeColor="accent3" w:themeShade="80"/>
          <w:sz w:val="28"/>
          <w:szCs w:val="20"/>
          <w:lang w:val="en-GB"/>
        </w:rPr>
      </w:pPr>
      <w:bookmarkStart w:id="16" w:name="CCandEbAanewpragmaticapproachtobuffering"/>
      <w:r w:rsidRPr="007A0296">
        <w:rPr>
          <w:rFonts w:ascii="Tahoma" w:eastAsia="Times New Roman" w:hAnsi="Tahoma" w:cs="Tahoma"/>
          <w:b/>
          <w:color w:val="4F6228" w:themeColor="accent3" w:themeShade="80"/>
          <w:sz w:val="28"/>
          <w:szCs w:val="20"/>
          <w:lang w:val="en-GB"/>
        </w:rPr>
        <w:t>New paper: "Climate change and EbA: a new pragmatic approach to buffering climate change impacts"</w:t>
      </w:r>
    </w:p>
    <w:bookmarkEnd w:id="16"/>
    <w:p w:rsidR="007A0296" w:rsidRPr="007A0296" w:rsidRDefault="007A0296" w:rsidP="007A0296">
      <w:pPr>
        <w:shd w:val="clear" w:color="auto" w:fill="FFFFFF"/>
        <w:rPr>
          <w:rFonts w:ascii="Tahoma" w:eastAsia="Times New Roman" w:hAnsi="Tahoma" w:cs="Tahoma"/>
          <w:sz w:val="20"/>
          <w:szCs w:val="20"/>
          <w:lang w:val="en-GB"/>
        </w:rPr>
      </w:pPr>
      <w:r w:rsidRPr="007A0296">
        <w:rPr>
          <w:rFonts w:ascii="Tahoma" w:eastAsia="Times New Roman" w:hAnsi="Tahoma" w:cs="Tahoma"/>
          <w:sz w:val="20"/>
          <w:szCs w:val="20"/>
          <w:lang w:val="en-GB"/>
        </w:rPr>
        <w:t xml:space="preserve">We are pleased to share </w:t>
      </w:r>
      <w:proofErr w:type="gramStart"/>
      <w:r w:rsidRPr="007A0296">
        <w:rPr>
          <w:rFonts w:ascii="Tahoma" w:eastAsia="Times New Roman" w:hAnsi="Tahoma" w:cs="Tahoma"/>
          <w:sz w:val="20"/>
          <w:szCs w:val="20"/>
          <w:lang w:val="en-GB"/>
        </w:rPr>
        <w:t>the  paper</w:t>
      </w:r>
      <w:proofErr w:type="gramEnd"/>
      <w:r w:rsidRPr="007A0296">
        <w:rPr>
          <w:rFonts w:ascii="Tahoma" w:eastAsia="Times New Roman" w:hAnsi="Tahoma" w:cs="Tahoma"/>
          <w:sz w:val="20"/>
          <w:szCs w:val="20"/>
          <w:lang w:val="en-GB"/>
        </w:rPr>
        <w:t xml:space="preserve"> titled "Climate change and Ecosystem-based Adaptation: a new pragmatic approach to buffering climate change impacts".  </w:t>
      </w:r>
      <w:proofErr w:type="gramStart"/>
      <w:r w:rsidRPr="007A0296">
        <w:rPr>
          <w:rFonts w:ascii="Tahoma" w:eastAsia="Times New Roman" w:hAnsi="Tahoma" w:cs="Tahoma"/>
          <w:sz w:val="20"/>
          <w:szCs w:val="20"/>
          <w:lang w:val="en-GB"/>
        </w:rPr>
        <w:t>the</w:t>
      </w:r>
      <w:proofErr w:type="gramEnd"/>
      <w:r w:rsidRPr="007A0296">
        <w:rPr>
          <w:rFonts w:ascii="Tahoma" w:eastAsia="Times New Roman" w:hAnsi="Tahoma" w:cs="Tahoma"/>
          <w:sz w:val="20"/>
          <w:szCs w:val="20"/>
          <w:lang w:val="en-GB"/>
        </w:rPr>
        <w:t xml:space="preserve"> paper highlights that Ecosystem-based (Approaches for Adaptation) (EbA) is a flexible strategy that can cope with the magnitude, speed and uncertainty of climate change. </w:t>
      </w:r>
    </w:p>
    <w:p w:rsidR="007A0296" w:rsidRPr="007A0296" w:rsidRDefault="007A0296" w:rsidP="007A0296">
      <w:pPr>
        <w:shd w:val="clear" w:color="auto" w:fill="FFFFFF"/>
        <w:rPr>
          <w:rFonts w:ascii="Tahoma" w:eastAsia="Times New Roman" w:hAnsi="Tahoma" w:cs="Tahoma"/>
          <w:sz w:val="20"/>
          <w:szCs w:val="20"/>
          <w:lang w:val="en-GB"/>
        </w:rPr>
      </w:pPr>
      <w:r w:rsidRPr="007A0296">
        <w:rPr>
          <w:rFonts w:ascii="Tahoma" w:eastAsia="Times New Roman" w:hAnsi="Tahoma" w:cs="Tahoma"/>
          <w:sz w:val="20"/>
          <w:szCs w:val="20"/>
          <w:lang w:val="en-GB"/>
        </w:rPr>
        <w:t> With the impacts of climate change increasingly being felt across the world, it is important to scale up the approach to increase society resilience to climate change as well as to achieve more sustainable economic development. Though EbA still remains under-utilized by policymakers and associated stakeholders, it provides a viable strategy for pursuing development goals simultaneously with climate change adaptation and mitigation targets.</w:t>
      </w:r>
    </w:p>
    <w:p w:rsidR="007A0296" w:rsidRPr="007A0296" w:rsidRDefault="007A0296" w:rsidP="007A0296">
      <w:pPr>
        <w:shd w:val="clear" w:color="auto" w:fill="FFFFFF"/>
        <w:rPr>
          <w:rFonts w:ascii="Tahoma" w:eastAsia="Times New Roman" w:hAnsi="Tahoma" w:cs="Tahoma"/>
          <w:sz w:val="20"/>
          <w:szCs w:val="20"/>
        </w:rPr>
      </w:pPr>
      <w:r w:rsidRPr="007A0296">
        <w:rPr>
          <w:rFonts w:ascii="Tahoma" w:eastAsia="Times New Roman" w:hAnsi="Tahoma" w:cs="Tahoma"/>
          <w:sz w:val="20"/>
          <w:szCs w:val="20"/>
          <w:lang w:val="en-GB"/>
        </w:rPr>
        <w:t>Read more from the link:</w:t>
      </w:r>
      <w:r w:rsidRPr="007A0296">
        <w:rPr>
          <w:rFonts w:ascii="Tahoma" w:eastAsia="Times New Roman" w:hAnsi="Tahoma" w:cs="Tahoma"/>
          <w:color w:val="000066"/>
          <w:sz w:val="20"/>
          <w:szCs w:val="20"/>
          <w:lang w:val="en-GB"/>
        </w:rPr>
        <w:t xml:space="preserve"> </w:t>
      </w:r>
      <w:hyperlink r:id="rId88" w:tgtFrame="_blank" w:history="1">
        <w:r w:rsidRPr="007A0296">
          <w:rPr>
            <w:rStyle w:val="Hyperlink"/>
            <w:rFonts w:ascii="Tahoma" w:hAnsi="Tahoma" w:cs="Tahoma"/>
            <w:sz w:val="20"/>
            <w:szCs w:val="20"/>
            <w:lang w:val="en-GB"/>
          </w:rPr>
          <w:t>http://www.africa.ganadapt.org/index.php/knowledge-base/publications/item/178-climate_change_and_ecosystem-based_adaptation-_a_new_pragmatic_approach_to_buffering_climate_change_impacts</w:t>
        </w:r>
      </w:hyperlink>
    </w:p>
    <w:p w:rsidR="0055690D" w:rsidRPr="0055690D" w:rsidRDefault="0055690D" w:rsidP="0055690D">
      <w:pPr>
        <w:pStyle w:val="NormalWeb"/>
        <w:spacing w:before="0" w:beforeAutospacing="0" w:after="0" w:afterAutospacing="0"/>
        <w:rPr>
          <w:rFonts w:ascii="Tahoma" w:hAnsi="Tahoma" w:cs="Tahoma"/>
          <w:b/>
          <w:bCs/>
          <w:color w:val="4F6228" w:themeColor="accent3" w:themeShade="80"/>
          <w:sz w:val="28"/>
          <w:szCs w:val="28"/>
        </w:rPr>
      </w:pPr>
      <w:bookmarkStart w:id="17" w:name="AsiaPacificCountriesReceive160MillionCC"/>
      <w:r w:rsidRPr="0055690D">
        <w:rPr>
          <w:rStyle w:val="Strong"/>
          <w:rFonts w:ascii="Tahoma" w:hAnsi="Tahoma" w:cs="Tahoma"/>
          <w:color w:val="4F6228" w:themeColor="accent3" w:themeShade="80"/>
          <w:sz w:val="28"/>
          <w:szCs w:val="28"/>
        </w:rPr>
        <w:t>Asia-Pacific: Countries Receive $160 Million for Climate Change</w:t>
      </w:r>
    </w:p>
    <w:bookmarkEnd w:id="17"/>
    <w:p w:rsidR="0055690D" w:rsidRDefault="0055690D" w:rsidP="0055690D">
      <w:pPr>
        <w:pStyle w:val="NormalWeb"/>
        <w:spacing w:before="0" w:beforeAutospacing="0" w:after="0" w:afterAutospacing="0"/>
        <w:rPr>
          <w:rStyle w:val="Emphasis"/>
          <w:rFonts w:ascii="Tahoma" w:hAnsi="Tahoma" w:cs="Tahoma"/>
          <w:color w:val="1A171B"/>
          <w:sz w:val="20"/>
          <w:szCs w:val="20"/>
        </w:rPr>
      </w:pPr>
      <w:r w:rsidRPr="0055690D">
        <w:rPr>
          <w:rStyle w:val="Emphasis"/>
          <w:rFonts w:ascii="Tahoma" w:hAnsi="Tahoma" w:cs="Tahoma"/>
          <w:color w:val="1A171B"/>
          <w:sz w:val="20"/>
          <w:szCs w:val="20"/>
        </w:rPr>
        <w:t>ADB, 7 November 2012</w:t>
      </w:r>
    </w:p>
    <w:p w:rsidR="0055690D" w:rsidRPr="0055690D" w:rsidRDefault="0055690D" w:rsidP="0055690D">
      <w:pPr>
        <w:pStyle w:val="NormalWeb"/>
        <w:spacing w:before="0" w:beforeAutospacing="0" w:after="0" w:afterAutospacing="0"/>
        <w:rPr>
          <w:rFonts w:ascii="Tahoma" w:hAnsi="Tahoma" w:cs="Tahoma"/>
          <w:color w:val="1A171B"/>
          <w:sz w:val="20"/>
          <w:szCs w:val="20"/>
        </w:rPr>
      </w:pPr>
    </w:p>
    <w:tbl>
      <w:tblPr>
        <w:tblW w:w="0" w:type="auto"/>
        <w:tblCellSpacing w:w="0" w:type="dxa"/>
        <w:tblCellMar>
          <w:left w:w="0" w:type="dxa"/>
          <w:right w:w="0" w:type="dxa"/>
        </w:tblCellMar>
        <w:tblLook w:val="04A0"/>
      </w:tblPr>
      <w:tblGrid>
        <w:gridCol w:w="6375"/>
        <w:gridCol w:w="2625"/>
      </w:tblGrid>
      <w:tr w:rsidR="0055690D" w:rsidRPr="0055690D" w:rsidTr="0055690D">
        <w:trPr>
          <w:tblCellSpacing w:w="0" w:type="dxa"/>
        </w:trPr>
        <w:tc>
          <w:tcPr>
            <w:tcW w:w="6375" w:type="dxa"/>
            <w:hideMark/>
          </w:tcPr>
          <w:p w:rsidR="0055690D" w:rsidRPr="0055690D" w:rsidRDefault="0055690D">
            <w:pPr>
              <w:pStyle w:val="NormalWeb"/>
              <w:spacing w:before="0" w:beforeAutospacing="0" w:after="0" w:afterAutospacing="0"/>
              <w:rPr>
                <w:rFonts w:ascii="Tahoma" w:hAnsi="Tahoma" w:cs="Tahoma"/>
                <w:color w:val="1A171B"/>
                <w:sz w:val="20"/>
                <w:szCs w:val="20"/>
                <w:lang w:eastAsia="en-US"/>
              </w:rPr>
            </w:pPr>
            <w:r w:rsidRPr="0055690D">
              <w:rPr>
                <w:rFonts w:ascii="Tahoma" w:hAnsi="Tahoma" w:cs="Tahoma"/>
                <w:color w:val="1A171B"/>
                <w:sz w:val="20"/>
                <w:szCs w:val="20"/>
                <w:lang w:eastAsia="en-US"/>
              </w:rPr>
              <w:t>The Climate Investment Funds (CIF) wrapped up week-long meetings with more than $160 million allocated for developing countries in Asia and the Pacific to expand access to renewable energy, manage forests to conserve their carbon, and build resilience to the adverse impacts of climate change.</w:t>
            </w:r>
          </w:p>
        </w:tc>
        <w:tc>
          <w:tcPr>
            <w:tcW w:w="2625" w:type="dxa"/>
            <w:hideMark/>
          </w:tcPr>
          <w:p w:rsidR="0055690D" w:rsidRPr="0055690D" w:rsidRDefault="008645BB">
            <w:pPr>
              <w:shd w:val="clear" w:color="auto" w:fill="DBE0D2"/>
              <w:jc w:val="center"/>
              <w:rPr>
                <w:rFonts w:ascii="Tahoma" w:eastAsia="Times New Roman" w:hAnsi="Tahoma" w:cs="Tahoma"/>
                <w:b/>
                <w:bCs/>
                <w:color w:val="235D04"/>
                <w:sz w:val="20"/>
                <w:szCs w:val="20"/>
              </w:rPr>
            </w:pPr>
            <w:hyperlink r:id="rId89" w:tgtFrame="_blank" w:history="1">
              <w:r w:rsidR="0055690D" w:rsidRPr="0055690D">
                <w:rPr>
                  <w:rStyle w:val="Hyperlink"/>
                  <w:rFonts w:ascii="Tahoma" w:hAnsi="Tahoma" w:cs="Tahoma"/>
                  <w:b/>
                  <w:bCs/>
                  <w:color w:val="235D04"/>
                  <w:sz w:val="20"/>
                  <w:szCs w:val="20"/>
                </w:rPr>
                <w:t>FULL TEXT</w:t>
              </w:r>
            </w:hyperlink>
          </w:p>
          <w:p w:rsidR="0055690D" w:rsidRPr="0055690D" w:rsidRDefault="008645BB">
            <w:pPr>
              <w:shd w:val="clear" w:color="auto" w:fill="DBE0D2"/>
              <w:jc w:val="center"/>
              <w:rPr>
                <w:rFonts w:ascii="Tahoma" w:eastAsia="Times New Roman" w:hAnsi="Tahoma" w:cs="Tahoma"/>
                <w:b/>
                <w:bCs/>
                <w:color w:val="235D04"/>
                <w:sz w:val="20"/>
                <w:szCs w:val="20"/>
              </w:rPr>
            </w:pPr>
            <w:hyperlink w:anchor="toc" w:history="1">
              <w:r w:rsidR="0055690D" w:rsidRPr="0055690D">
                <w:rPr>
                  <w:rStyle w:val="Hyperlink"/>
                  <w:rFonts w:ascii="Tahoma" w:hAnsi="Tahoma" w:cs="Tahoma"/>
                  <w:b/>
                  <w:bCs/>
                  <w:color w:val="235D04"/>
                  <w:sz w:val="20"/>
                  <w:szCs w:val="20"/>
                </w:rPr>
                <w:t>BACK TO CONTENTS</w:t>
              </w:r>
            </w:hyperlink>
          </w:p>
        </w:tc>
      </w:tr>
    </w:tbl>
    <w:p w:rsidR="00EB1C92" w:rsidRPr="0055690D" w:rsidRDefault="00D5584A" w:rsidP="00EB1C92">
      <w:pPr>
        <w:pStyle w:val="NoSpacing"/>
        <w:rPr>
          <w:rFonts w:ascii="Tahoma" w:hAnsi="Tahoma" w:cs="Tahoma"/>
          <w:b/>
          <w:bCs/>
          <w:kern w:val="36"/>
          <w:lang w:eastAsia="en-AU"/>
        </w:rPr>
      </w:pPr>
      <w:r w:rsidRPr="0055690D">
        <w:rPr>
          <w:rFonts w:ascii="Tahoma" w:hAnsi="Tahoma" w:cs="Tahoma"/>
        </w:rPr>
        <w:br/>
      </w:r>
    </w:p>
    <w:sectPr w:rsidR="00EB1C92" w:rsidRPr="0055690D" w:rsidSect="004103A4">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1ED6"/>
    <w:multiLevelType w:val="hybridMultilevel"/>
    <w:tmpl w:val="55064A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C9561FC"/>
    <w:multiLevelType w:val="hybridMultilevel"/>
    <w:tmpl w:val="2AA2FE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400702A"/>
    <w:multiLevelType w:val="multilevel"/>
    <w:tmpl w:val="B0DED8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0191807"/>
    <w:multiLevelType w:val="hybridMultilevel"/>
    <w:tmpl w:val="4C6E8E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9C64484"/>
    <w:multiLevelType w:val="hybridMultilevel"/>
    <w:tmpl w:val="C69CF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66861B0"/>
    <w:multiLevelType w:val="hybridMultilevel"/>
    <w:tmpl w:val="AA646974"/>
    <w:lvl w:ilvl="0" w:tplc="2188C820">
      <w:start w:val="1"/>
      <w:numFmt w:val="decimal"/>
      <w:lvlText w:val="%1."/>
      <w:lvlJc w:val="left"/>
      <w:pPr>
        <w:ind w:left="720" w:hanging="360"/>
      </w:pPr>
      <w:rPr>
        <w:rFonts w:ascii="Tahoma" w:hAnsi="Tahoma" w:cs="Tahoma"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A305987"/>
    <w:multiLevelType w:val="hybridMultilevel"/>
    <w:tmpl w:val="954E64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A9D279B"/>
    <w:multiLevelType w:val="multilevel"/>
    <w:tmpl w:val="21D0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9E7C6C"/>
    <w:multiLevelType w:val="multilevel"/>
    <w:tmpl w:val="0C0C9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A344EDE"/>
    <w:multiLevelType w:val="multilevel"/>
    <w:tmpl w:val="CBB0B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BC2166"/>
    <w:multiLevelType w:val="hybridMultilevel"/>
    <w:tmpl w:val="09DA37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1467EFD"/>
    <w:multiLevelType w:val="multilevel"/>
    <w:tmpl w:val="E4008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742CC6"/>
    <w:multiLevelType w:val="hybridMultilevel"/>
    <w:tmpl w:val="E33897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1FF178C"/>
    <w:multiLevelType w:val="multilevel"/>
    <w:tmpl w:val="0DF25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551647A"/>
    <w:multiLevelType w:val="hybridMultilevel"/>
    <w:tmpl w:val="9F3077DC"/>
    <w:lvl w:ilvl="0" w:tplc="7D4419B6">
      <w:start w:val="1"/>
      <w:numFmt w:val="decimal"/>
      <w:lvlText w:val="%1."/>
      <w:lvlJc w:val="left"/>
      <w:pPr>
        <w:ind w:left="720" w:hanging="360"/>
      </w:pPr>
      <w:rPr>
        <w:rFonts w:ascii="Tahoma" w:hAnsi="Tahoma" w:cs="Tahom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A9874F3"/>
    <w:multiLevelType w:val="multilevel"/>
    <w:tmpl w:val="A5FC6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10"/>
  </w:num>
  <w:num w:numId="6">
    <w:abstractNumId w:val="6"/>
  </w:num>
  <w:num w:numId="7">
    <w:abstractNumId w:val="15"/>
  </w:num>
  <w:num w:numId="8">
    <w:abstractNumId w:val="8"/>
  </w:num>
  <w:num w:numId="9">
    <w:abstractNumId w:val="13"/>
  </w:num>
  <w:num w:numId="10">
    <w:abstractNumId w:val="12"/>
  </w:num>
  <w:num w:numId="11">
    <w:abstractNumId w:val="7"/>
  </w:num>
  <w:num w:numId="12">
    <w:abstractNumId w:val="11"/>
  </w:num>
  <w:num w:numId="13">
    <w:abstractNumId w:val="9"/>
  </w:num>
  <w:num w:numId="14">
    <w:abstractNumId w:val="0"/>
  </w:num>
  <w:num w:numId="15">
    <w:abstractNumId w:val="14"/>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5087"/>
    <w:rsid w:val="0000049E"/>
    <w:rsid w:val="000011D6"/>
    <w:rsid w:val="00001CE9"/>
    <w:rsid w:val="00002153"/>
    <w:rsid w:val="00002ACE"/>
    <w:rsid w:val="00003841"/>
    <w:rsid w:val="00003E3F"/>
    <w:rsid w:val="0000445F"/>
    <w:rsid w:val="00005082"/>
    <w:rsid w:val="00005819"/>
    <w:rsid w:val="00006158"/>
    <w:rsid w:val="00006953"/>
    <w:rsid w:val="00006BFB"/>
    <w:rsid w:val="00010998"/>
    <w:rsid w:val="00010A07"/>
    <w:rsid w:val="00010C06"/>
    <w:rsid w:val="00010EE7"/>
    <w:rsid w:val="000120D3"/>
    <w:rsid w:val="000123B7"/>
    <w:rsid w:val="000124E4"/>
    <w:rsid w:val="000133B8"/>
    <w:rsid w:val="000137D7"/>
    <w:rsid w:val="00014EF0"/>
    <w:rsid w:val="00015195"/>
    <w:rsid w:val="00016265"/>
    <w:rsid w:val="00016F65"/>
    <w:rsid w:val="00016F86"/>
    <w:rsid w:val="00017050"/>
    <w:rsid w:val="00017E2C"/>
    <w:rsid w:val="000203B5"/>
    <w:rsid w:val="000224C7"/>
    <w:rsid w:val="00022770"/>
    <w:rsid w:val="00025309"/>
    <w:rsid w:val="000256A0"/>
    <w:rsid w:val="00025CF9"/>
    <w:rsid w:val="0002783D"/>
    <w:rsid w:val="00030DF9"/>
    <w:rsid w:val="000319EA"/>
    <w:rsid w:val="00031CE0"/>
    <w:rsid w:val="000328B9"/>
    <w:rsid w:val="00032E23"/>
    <w:rsid w:val="00034A78"/>
    <w:rsid w:val="00035905"/>
    <w:rsid w:val="00035B03"/>
    <w:rsid w:val="00035E89"/>
    <w:rsid w:val="00037C9D"/>
    <w:rsid w:val="00040DB3"/>
    <w:rsid w:val="00040FFB"/>
    <w:rsid w:val="0004101B"/>
    <w:rsid w:val="00041FCE"/>
    <w:rsid w:val="000420CD"/>
    <w:rsid w:val="00042987"/>
    <w:rsid w:val="000429A9"/>
    <w:rsid w:val="00043699"/>
    <w:rsid w:val="00043A98"/>
    <w:rsid w:val="00044457"/>
    <w:rsid w:val="00044E20"/>
    <w:rsid w:val="0004697E"/>
    <w:rsid w:val="00046E32"/>
    <w:rsid w:val="00047415"/>
    <w:rsid w:val="00050A0A"/>
    <w:rsid w:val="00053D7B"/>
    <w:rsid w:val="0005527B"/>
    <w:rsid w:val="000555FC"/>
    <w:rsid w:val="00056AC4"/>
    <w:rsid w:val="0005704C"/>
    <w:rsid w:val="00057781"/>
    <w:rsid w:val="00057DC8"/>
    <w:rsid w:val="000621FE"/>
    <w:rsid w:val="00063CA4"/>
    <w:rsid w:val="0006415D"/>
    <w:rsid w:val="00064BD4"/>
    <w:rsid w:val="00064E66"/>
    <w:rsid w:val="00067C0D"/>
    <w:rsid w:val="000706C1"/>
    <w:rsid w:val="00070942"/>
    <w:rsid w:val="000742B9"/>
    <w:rsid w:val="000747D7"/>
    <w:rsid w:val="00074D84"/>
    <w:rsid w:val="00075B13"/>
    <w:rsid w:val="00080C84"/>
    <w:rsid w:val="00080EA3"/>
    <w:rsid w:val="0008116A"/>
    <w:rsid w:val="000819A2"/>
    <w:rsid w:val="00081C3A"/>
    <w:rsid w:val="00082B4F"/>
    <w:rsid w:val="00082DC8"/>
    <w:rsid w:val="000849D4"/>
    <w:rsid w:val="00084E31"/>
    <w:rsid w:val="00085478"/>
    <w:rsid w:val="000860A6"/>
    <w:rsid w:val="00086868"/>
    <w:rsid w:val="000877B7"/>
    <w:rsid w:val="000909BB"/>
    <w:rsid w:val="00090A1A"/>
    <w:rsid w:val="00091654"/>
    <w:rsid w:val="00091875"/>
    <w:rsid w:val="000925EF"/>
    <w:rsid w:val="00092EA1"/>
    <w:rsid w:val="00093B1F"/>
    <w:rsid w:val="000956D0"/>
    <w:rsid w:val="00095977"/>
    <w:rsid w:val="00096CA0"/>
    <w:rsid w:val="000A088A"/>
    <w:rsid w:val="000A3ED5"/>
    <w:rsid w:val="000A4437"/>
    <w:rsid w:val="000A614E"/>
    <w:rsid w:val="000A69A4"/>
    <w:rsid w:val="000A6C19"/>
    <w:rsid w:val="000B0CE6"/>
    <w:rsid w:val="000B15A2"/>
    <w:rsid w:val="000B1888"/>
    <w:rsid w:val="000B1D59"/>
    <w:rsid w:val="000B2782"/>
    <w:rsid w:val="000B2AF1"/>
    <w:rsid w:val="000B2D71"/>
    <w:rsid w:val="000B53E5"/>
    <w:rsid w:val="000B69CE"/>
    <w:rsid w:val="000B6C1A"/>
    <w:rsid w:val="000C0109"/>
    <w:rsid w:val="000C03A5"/>
    <w:rsid w:val="000C0B3F"/>
    <w:rsid w:val="000C17E3"/>
    <w:rsid w:val="000C3A4F"/>
    <w:rsid w:val="000C4CB2"/>
    <w:rsid w:val="000C6C00"/>
    <w:rsid w:val="000C7747"/>
    <w:rsid w:val="000C7BD3"/>
    <w:rsid w:val="000D0201"/>
    <w:rsid w:val="000D3DFC"/>
    <w:rsid w:val="000D4473"/>
    <w:rsid w:val="000D56F8"/>
    <w:rsid w:val="000D5D7C"/>
    <w:rsid w:val="000D7DF4"/>
    <w:rsid w:val="000E00A9"/>
    <w:rsid w:val="000E012D"/>
    <w:rsid w:val="000E1079"/>
    <w:rsid w:val="000E1EA2"/>
    <w:rsid w:val="000E2050"/>
    <w:rsid w:val="000E2727"/>
    <w:rsid w:val="000E29B5"/>
    <w:rsid w:val="000E3031"/>
    <w:rsid w:val="000E3148"/>
    <w:rsid w:val="000E40BB"/>
    <w:rsid w:val="000E47A0"/>
    <w:rsid w:val="000E48A5"/>
    <w:rsid w:val="000E544F"/>
    <w:rsid w:val="000E5CD8"/>
    <w:rsid w:val="000E7EFD"/>
    <w:rsid w:val="000F04FE"/>
    <w:rsid w:val="000F081C"/>
    <w:rsid w:val="000F14CE"/>
    <w:rsid w:val="000F1882"/>
    <w:rsid w:val="000F2158"/>
    <w:rsid w:val="000F34FB"/>
    <w:rsid w:val="000F4A6E"/>
    <w:rsid w:val="000F4EF6"/>
    <w:rsid w:val="000F573F"/>
    <w:rsid w:val="000F5A54"/>
    <w:rsid w:val="000F5E96"/>
    <w:rsid w:val="000F6C75"/>
    <w:rsid w:val="000F6E00"/>
    <w:rsid w:val="000F747C"/>
    <w:rsid w:val="001000A2"/>
    <w:rsid w:val="00101175"/>
    <w:rsid w:val="001015C7"/>
    <w:rsid w:val="0010164C"/>
    <w:rsid w:val="001030E0"/>
    <w:rsid w:val="00103950"/>
    <w:rsid w:val="00104D28"/>
    <w:rsid w:val="001053A1"/>
    <w:rsid w:val="00105AC7"/>
    <w:rsid w:val="0010721D"/>
    <w:rsid w:val="00110BFE"/>
    <w:rsid w:val="0011262C"/>
    <w:rsid w:val="001135E3"/>
    <w:rsid w:val="001144E9"/>
    <w:rsid w:val="00114A42"/>
    <w:rsid w:val="00114E26"/>
    <w:rsid w:val="00115344"/>
    <w:rsid w:val="0011618F"/>
    <w:rsid w:val="00120B5D"/>
    <w:rsid w:val="00120E6B"/>
    <w:rsid w:val="00121093"/>
    <w:rsid w:val="00121BE6"/>
    <w:rsid w:val="00122B2A"/>
    <w:rsid w:val="00122BD0"/>
    <w:rsid w:val="001238B1"/>
    <w:rsid w:val="00123B92"/>
    <w:rsid w:val="00123FE7"/>
    <w:rsid w:val="0012469B"/>
    <w:rsid w:val="001246CB"/>
    <w:rsid w:val="00124A43"/>
    <w:rsid w:val="00126B6B"/>
    <w:rsid w:val="00126C8F"/>
    <w:rsid w:val="001303F0"/>
    <w:rsid w:val="001312E7"/>
    <w:rsid w:val="001319B1"/>
    <w:rsid w:val="00131F52"/>
    <w:rsid w:val="001328F1"/>
    <w:rsid w:val="00132C9E"/>
    <w:rsid w:val="00134CDD"/>
    <w:rsid w:val="001359CC"/>
    <w:rsid w:val="001367CF"/>
    <w:rsid w:val="00137350"/>
    <w:rsid w:val="00137EF5"/>
    <w:rsid w:val="001428A7"/>
    <w:rsid w:val="00142BF7"/>
    <w:rsid w:val="00143BFC"/>
    <w:rsid w:val="00143F2B"/>
    <w:rsid w:val="00144602"/>
    <w:rsid w:val="00144C04"/>
    <w:rsid w:val="00144F2C"/>
    <w:rsid w:val="001459F7"/>
    <w:rsid w:val="00146F0A"/>
    <w:rsid w:val="00147F40"/>
    <w:rsid w:val="00150EB4"/>
    <w:rsid w:val="001521CC"/>
    <w:rsid w:val="00152E2D"/>
    <w:rsid w:val="001546A3"/>
    <w:rsid w:val="00154985"/>
    <w:rsid w:val="00155636"/>
    <w:rsid w:val="00155C4F"/>
    <w:rsid w:val="0015699E"/>
    <w:rsid w:val="001570CF"/>
    <w:rsid w:val="001600EB"/>
    <w:rsid w:val="00160274"/>
    <w:rsid w:val="00160920"/>
    <w:rsid w:val="00160CEF"/>
    <w:rsid w:val="00160D5D"/>
    <w:rsid w:val="00162531"/>
    <w:rsid w:val="0016351F"/>
    <w:rsid w:val="00164255"/>
    <w:rsid w:val="001657A0"/>
    <w:rsid w:val="0016585B"/>
    <w:rsid w:val="001659D4"/>
    <w:rsid w:val="00165A8D"/>
    <w:rsid w:val="001661C7"/>
    <w:rsid w:val="001664CD"/>
    <w:rsid w:val="00170DD4"/>
    <w:rsid w:val="00173CCA"/>
    <w:rsid w:val="0017450C"/>
    <w:rsid w:val="0017536A"/>
    <w:rsid w:val="00175961"/>
    <w:rsid w:val="00175CC0"/>
    <w:rsid w:val="00177063"/>
    <w:rsid w:val="0017725E"/>
    <w:rsid w:val="00177511"/>
    <w:rsid w:val="00177E8F"/>
    <w:rsid w:val="001818AC"/>
    <w:rsid w:val="0018399C"/>
    <w:rsid w:val="00184077"/>
    <w:rsid w:val="00184957"/>
    <w:rsid w:val="001864F9"/>
    <w:rsid w:val="0018717A"/>
    <w:rsid w:val="0019082C"/>
    <w:rsid w:val="0019345C"/>
    <w:rsid w:val="00193D26"/>
    <w:rsid w:val="00194A0B"/>
    <w:rsid w:val="00195EA2"/>
    <w:rsid w:val="0019607F"/>
    <w:rsid w:val="00197003"/>
    <w:rsid w:val="001979CA"/>
    <w:rsid w:val="00197D13"/>
    <w:rsid w:val="001A3455"/>
    <w:rsid w:val="001A3CD1"/>
    <w:rsid w:val="001A4DC9"/>
    <w:rsid w:val="001A5608"/>
    <w:rsid w:val="001A6C3A"/>
    <w:rsid w:val="001A716F"/>
    <w:rsid w:val="001A7659"/>
    <w:rsid w:val="001B0B8E"/>
    <w:rsid w:val="001B0BCA"/>
    <w:rsid w:val="001B1585"/>
    <w:rsid w:val="001B21D6"/>
    <w:rsid w:val="001B25C9"/>
    <w:rsid w:val="001B385D"/>
    <w:rsid w:val="001B423B"/>
    <w:rsid w:val="001B5DC4"/>
    <w:rsid w:val="001B6C9F"/>
    <w:rsid w:val="001B6F76"/>
    <w:rsid w:val="001B7684"/>
    <w:rsid w:val="001C00A6"/>
    <w:rsid w:val="001C018A"/>
    <w:rsid w:val="001C01C9"/>
    <w:rsid w:val="001C0C9C"/>
    <w:rsid w:val="001C153D"/>
    <w:rsid w:val="001C1AAA"/>
    <w:rsid w:val="001C1DE9"/>
    <w:rsid w:val="001C222A"/>
    <w:rsid w:val="001C2306"/>
    <w:rsid w:val="001C2F8E"/>
    <w:rsid w:val="001C3F55"/>
    <w:rsid w:val="001C42F2"/>
    <w:rsid w:val="001C529C"/>
    <w:rsid w:val="001C52AE"/>
    <w:rsid w:val="001C64DC"/>
    <w:rsid w:val="001C79BA"/>
    <w:rsid w:val="001D0596"/>
    <w:rsid w:val="001D1396"/>
    <w:rsid w:val="001D13DD"/>
    <w:rsid w:val="001D1400"/>
    <w:rsid w:val="001D3661"/>
    <w:rsid w:val="001D3940"/>
    <w:rsid w:val="001D3CF2"/>
    <w:rsid w:val="001D44B2"/>
    <w:rsid w:val="001D46BE"/>
    <w:rsid w:val="001D6B37"/>
    <w:rsid w:val="001D769E"/>
    <w:rsid w:val="001D7A87"/>
    <w:rsid w:val="001E0671"/>
    <w:rsid w:val="001E36E4"/>
    <w:rsid w:val="001E38FE"/>
    <w:rsid w:val="001E430A"/>
    <w:rsid w:val="001E4CAF"/>
    <w:rsid w:val="001E5B0F"/>
    <w:rsid w:val="001E5BAB"/>
    <w:rsid w:val="001E645E"/>
    <w:rsid w:val="001E7B10"/>
    <w:rsid w:val="001E7C97"/>
    <w:rsid w:val="001F02B6"/>
    <w:rsid w:val="001F157A"/>
    <w:rsid w:val="001F17EB"/>
    <w:rsid w:val="001F1EAE"/>
    <w:rsid w:val="001F2C3C"/>
    <w:rsid w:val="001F3B41"/>
    <w:rsid w:val="001F5E2D"/>
    <w:rsid w:val="001F6CD9"/>
    <w:rsid w:val="0020088F"/>
    <w:rsid w:val="00200F2E"/>
    <w:rsid w:val="002012E8"/>
    <w:rsid w:val="0020474E"/>
    <w:rsid w:val="00204EA4"/>
    <w:rsid w:val="002053B6"/>
    <w:rsid w:val="00205560"/>
    <w:rsid w:val="0020595B"/>
    <w:rsid w:val="0020685F"/>
    <w:rsid w:val="0020702A"/>
    <w:rsid w:val="00210175"/>
    <w:rsid w:val="00210875"/>
    <w:rsid w:val="00211C06"/>
    <w:rsid w:val="0021217D"/>
    <w:rsid w:val="00213E4B"/>
    <w:rsid w:val="002141F5"/>
    <w:rsid w:val="00214E5D"/>
    <w:rsid w:val="00214F9F"/>
    <w:rsid w:val="002161D4"/>
    <w:rsid w:val="0021730D"/>
    <w:rsid w:val="00217511"/>
    <w:rsid w:val="002177C2"/>
    <w:rsid w:val="002200A4"/>
    <w:rsid w:val="002215CB"/>
    <w:rsid w:val="00221DA8"/>
    <w:rsid w:val="00223963"/>
    <w:rsid w:val="00223B4B"/>
    <w:rsid w:val="0022583D"/>
    <w:rsid w:val="002260EE"/>
    <w:rsid w:val="00226986"/>
    <w:rsid w:val="0023136C"/>
    <w:rsid w:val="00231C25"/>
    <w:rsid w:val="00234112"/>
    <w:rsid w:val="002347CF"/>
    <w:rsid w:val="00234AE2"/>
    <w:rsid w:val="00235570"/>
    <w:rsid w:val="00236C2A"/>
    <w:rsid w:val="0023720F"/>
    <w:rsid w:val="0024241D"/>
    <w:rsid w:val="00242B67"/>
    <w:rsid w:val="00243FC1"/>
    <w:rsid w:val="00244B52"/>
    <w:rsid w:val="0024595B"/>
    <w:rsid w:val="00246700"/>
    <w:rsid w:val="002468C2"/>
    <w:rsid w:val="00246DCF"/>
    <w:rsid w:val="00246E39"/>
    <w:rsid w:val="002475FC"/>
    <w:rsid w:val="00247D67"/>
    <w:rsid w:val="00250525"/>
    <w:rsid w:val="00250684"/>
    <w:rsid w:val="00250782"/>
    <w:rsid w:val="00251E92"/>
    <w:rsid w:val="002527C0"/>
    <w:rsid w:val="002529BE"/>
    <w:rsid w:val="002534E5"/>
    <w:rsid w:val="0025354F"/>
    <w:rsid w:val="00253771"/>
    <w:rsid w:val="0025439B"/>
    <w:rsid w:val="00254B8A"/>
    <w:rsid w:val="00256A9B"/>
    <w:rsid w:val="002570E0"/>
    <w:rsid w:val="00257B8D"/>
    <w:rsid w:val="00260254"/>
    <w:rsid w:val="0026065C"/>
    <w:rsid w:val="00261186"/>
    <w:rsid w:val="00261321"/>
    <w:rsid w:val="002638A5"/>
    <w:rsid w:val="00264568"/>
    <w:rsid w:val="00265790"/>
    <w:rsid w:val="002657C2"/>
    <w:rsid w:val="00267784"/>
    <w:rsid w:val="00267A70"/>
    <w:rsid w:val="0027158C"/>
    <w:rsid w:val="00271860"/>
    <w:rsid w:val="00271B78"/>
    <w:rsid w:val="00271EC2"/>
    <w:rsid w:val="00273BA7"/>
    <w:rsid w:val="002761A6"/>
    <w:rsid w:val="00276720"/>
    <w:rsid w:val="002775A0"/>
    <w:rsid w:val="002776DF"/>
    <w:rsid w:val="00277923"/>
    <w:rsid w:val="00280204"/>
    <w:rsid w:val="00280246"/>
    <w:rsid w:val="002809F2"/>
    <w:rsid w:val="00281D3C"/>
    <w:rsid w:val="002822D0"/>
    <w:rsid w:val="00282945"/>
    <w:rsid w:val="00282CB3"/>
    <w:rsid w:val="002869BA"/>
    <w:rsid w:val="00286AD5"/>
    <w:rsid w:val="002870CC"/>
    <w:rsid w:val="00287162"/>
    <w:rsid w:val="0028724A"/>
    <w:rsid w:val="00287301"/>
    <w:rsid w:val="00287F8D"/>
    <w:rsid w:val="002902BB"/>
    <w:rsid w:val="002902E3"/>
    <w:rsid w:val="002904EF"/>
    <w:rsid w:val="002915ED"/>
    <w:rsid w:val="002937E5"/>
    <w:rsid w:val="00293878"/>
    <w:rsid w:val="00293B2B"/>
    <w:rsid w:val="00294DC1"/>
    <w:rsid w:val="00296401"/>
    <w:rsid w:val="00296E00"/>
    <w:rsid w:val="002971A0"/>
    <w:rsid w:val="0029792D"/>
    <w:rsid w:val="002A07F4"/>
    <w:rsid w:val="002A0AD1"/>
    <w:rsid w:val="002A14F4"/>
    <w:rsid w:val="002A1AC4"/>
    <w:rsid w:val="002A1EBB"/>
    <w:rsid w:val="002A3419"/>
    <w:rsid w:val="002A431F"/>
    <w:rsid w:val="002A4360"/>
    <w:rsid w:val="002A6922"/>
    <w:rsid w:val="002A75A8"/>
    <w:rsid w:val="002B046F"/>
    <w:rsid w:val="002B1ED5"/>
    <w:rsid w:val="002B26C2"/>
    <w:rsid w:val="002B3937"/>
    <w:rsid w:val="002B40FE"/>
    <w:rsid w:val="002B45E7"/>
    <w:rsid w:val="002B4BCD"/>
    <w:rsid w:val="002B6961"/>
    <w:rsid w:val="002B6E46"/>
    <w:rsid w:val="002C066A"/>
    <w:rsid w:val="002C1F9C"/>
    <w:rsid w:val="002C2A21"/>
    <w:rsid w:val="002C2E6D"/>
    <w:rsid w:val="002C47AB"/>
    <w:rsid w:val="002C4B6E"/>
    <w:rsid w:val="002C63F0"/>
    <w:rsid w:val="002C684D"/>
    <w:rsid w:val="002C724A"/>
    <w:rsid w:val="002C737C"/>
    <w:rsid w:val="002C7574"/>
    <w:rsid w:val="002D0FEE"/>
    <w:rsid w:val="002D1054"/>
    <w:rsid w:val="002D119B"/>
    <w:rsid w:val="002D1A08"/>
    <w:rsid w:val="002D250C"/>
    <w:rsid w:val="002D28F7"/>
    <w:rsid w:val="002D2E8F"/>
    <w:rsid w:val="002D37D8"/>
    <w:rsid w:val="002D405C"/>
    <w:rsid w:val="002D418C"/>
    <w:rsid w:val="002D55BC"/>
    <w:rsid w:val="002D5F0B"/>
    <w:rsid w:val="002D635C"/>
    <w:rsid w:val="002D665B"/>
    <w:rsid w:val="002D6E4C"/>
    <w:rsid w:val="002D7B41"/>
    <w:rsid w:val="002E004F"/>
    <w:rsid w:val="002E0428"/>
    <w:rsid w:val="002E1B4B"/>
    <w:rsid w:val="002E3997"/>
    <w:rsid w:val="002E427A"/>
    <w:rsid w:val="002E64E7"/>
    <w:rsid w:val="002E7F27"/>
    <w:rsid w:val="002F02E6"/>
    <w:rsid w:val="002F0530"/>
    <w:rsid w:val="002F06F3"/>
    <w:rsid w:val="002F0A06"/>
    <w:rsid w:val="002F10F7"/>
    <w:rsid w:val="002F1333"/>
    <w:rsid w:val="002F2BB3"/>
    <w:rsid w:val="002F326E"/>
    <w:rsid w:val="002F39FA"/>
    <w:rsid w:val="002F3E8E"/>
    <w:rsid w:val="002F570C"/>
    <w:rsid w:val="002F5B88"/>
    <w:rsid w:val="002F6543"/>
    <w:rsid w:val="002F6CB4"/>
    <w:rsid w:val="00300C19"/>
    <w:rsid w:val="0030367E"/>
    <w:rsid w:val="00304464"/>
    <w:rsid w:val="00304B81"/>
    <w:rsid w:val="00304D7E"/>
    <w:rsid w:val="00305F47"/>
    <w:rsid w:val="003073A0"/>
    <w:rsid w:val="003077CA"/>
    <w:rsid w:val="00310C3D"/>
    <w:rsid w:val="00311762"/>
    <w:rsid w:val="00311866"/>
    <w:rsid w:val="003132A3"/>
    <w:rsid w:val="00314F3B"/>
    <w:rsid w:val="00315E78"/>
    <w:rsid w:val="00315E9D"/>
    <w:rsid w:val="00315F6E"/>
    <w:rsid w:val="0031698A"/>
    <w:rsid w:val="003173FE"/>
    <w:rsid w:val="00320344"/>
    <w:rsid w:val="003203DB"/>
    <w:rsid w:val="00322FAA"/>
    <w:rsid w:val="00325337"/>
    <w:rsid w:val="0032561A"/>
    <w:rsid w:val="00325F93"/>
    <w:rsid w:val="003262B5"/>
    <w:rsid w:val="00326DF5"/>
    <w:rsid w:val="003270C4"/>
    <w:rsid w:val="00327563"/>
    <w:rsid w:val="00330954"/>
    <w:rsid w:val="003317CF"/>
    <w:rsid w:val="00331C9A"/>
    <w:rsid w:val="00331F8F"/>
    <w:rsid w:val="00332381"/>
    <w:rsid w:val="00332767"/>
    <w:rsid w:val="00332F5C"/>
    <w:rsid w:val="00333055"/>
    <w:rsid w:val="0033360E"/>
    <w:rsid w:val="00333BD1"/>
    <w:rsid w:val="00335127"/>
    <w:rsid w:val="00337304"/>
    <w:rsid w:val="00337564"/>
    <w:rsid w:val="00340571"/>
    <w:rsid w:val="0034233F"/>
    <w:rsid w:val="003431F8"/>
    <w:rsid w:val="00343A36"/>
    <w:rsid w:val="00343F29"/>
    <w:rsid w:val="003461FD"/>
    <w:rsid w:val="00347D9A"/>
    <w:rsid w:val="003527E7"/>
    <w:rsid w:val="00353EB5"/>
    <w:rsid w:val="00354704"/>
    <w:rsid w:val="00354736"/>
    <w:rsid w:val="00354A92"/>
    <w:rsid w:val="0035543B"/>
    <w:rsid w:val="003558CD"/>
    <w:rsid w:val="00355A86"/>
    <w:rsid w:val="00355C1E"/>
    <w:rsid w:val="003569A0"/>
    <w:rsid w:val="0035706E"/>
    <w:rsid w:val="003572D4"/>
    <w:rsid w:val="00360289"/>
    <w:rsid w:val="00360607"/>
    <w:rsid w:val="00360975"/>
    <w:rsid w:val="00360D21"/>
    <w:rsid w:val="003621B9"/>
    <w:rsid w:val="00362D7D"/>
    <w:rsid w:val="003644D1"/>
    <w:rsid w:val="00365823"/>
    <w:rsid w:val="0036651F"/>
    <w:rsid w:val="00366902"/>
    <w:rsid w:val="003672F8"/>
    <w:rsid w:val="003704D1"/>
    <w:rsid w:val="00372251"/>
    <w:rsid w:val="003722FE"/>
    <w:rsid w:val="003723AD"/>
    <w:rsid w:val="00373C80"/>
    <w:rsid w:val="00375E8F"/>
    <w:rsid w:val="003776C0"/>
    <w:rsid w:val="00377D0C"/>
    <w:rsid w:val="0038057A"/>
    <w:rsid w:val="00380BD9"/>
    <w:rsid w:val="00380D13"/>
    <w:rsid w:val="003816DB"/>
    <w:rsid w:val="00383285"/>
    <w:rsid w:val="00383C09"/>
    <w:rsid w:val="00383EB5"/>
    <w:rsid w:val="00385001"/>
    <w:rsid w:val="00386294"/>
    <w:rsid w:val="0038665F"/>
    <w:rsid w:val="00386DF7"/>
    <w:rsid w:val="003876BB"/>
    <w:rsid w:val="003905C8"/>
    <w:rsid w:val="00391395"/>
    <w:rsid w:val="00391B55"/>
    <w:rsid w:val="00391E07"/>
    <w:rsid w:val="00392579"/>
    <w:rsid w:val="00392C4D"/>
    <w:rsid w:val="0039378E"/>
    <w:rsid w:val="00395087"/>
    <w:rsid w:val="00395A62"/>
    <w:rsid w:val="00395EF9"/>
    <w:rsid w:val="00397896"/>
    <w:rsid w:val="003A005E"/>
    <w:rsid w:val="003A01B4"/>
    <w:rsid w:val="003A1051"/>
    <w:rsid w:val="003A1E9D"/>
    <w:rsid w:val="003A567E"/>
    <w:rsid w:val="003A5951"/>
    <w:rsid w:val="003A5A2A"/>
    <w:rsid w:val="003A5FC1"/>
    <w:rsid w:val="003A61FC"/>
    <w:rsid w:val="003A7ABA"/>
    <w:rsid w:val="003B069A"/>
    <w:rsid w:val="003B08A6"/>
    <w:rsid w:val="003B0A15"/>
    <w:rsid w:val="003B10B5"/>
    <w:rsid w:val="003B1207"/>
    <w:rsid w:val="003B27BE"/>
    <w:rsid w:val="003B47A6"/>
    <w:rsid w:val="003B5129"/>
    <w:rsid w:val="003B5CF0"/>
    <w:rsid w:val="003B6344"/>
    <w:rsid w:val="003B708A"/>
    <w:rsid w:val="003B73DD"/>
    <w:rsid w:val="003B7571"/>
    <w:rsid w:val="003B7A9E"/>
    <w:rsid w:val="003C1128"/>
    <w:rsid w:val="003C2149"/>
    <w:rsid w:val="003C2DA5"/>
    <w:rsid w:val="003C34E9"/>
    <w:rsid w:val="003C3B9B"/>
    <w:rsid w:val="003C4B12"/>
    <w:rsid w:val="003C6AFB"/>
    <w:rsid w:val="003C761F"/>
    <w:rsid w:val="003D03FA"/>
    <w:rsid w:val="003D0CCB"/>
    <w:rsid w:val="003D0EB3"/>
    <w:rsid w:val="003D1277"/>
    <w:rsid w:val="003D222B"/>
    <w:rsid w:val="003D2388"/>
    <w:rsid w:val="003D32A0"/>
    <w:rsid w:val="003D3A4B"/>
    <w:rsid w:val="003D429D"/>
    <w:rsid w:val="003D43E8"/>
    <w:rsid w:val="003D4BCF"/>
    <w:rsid w:val="003D53FD"/>
    <w:rsid w:val="003D6522"/>
    <w:rsid w:val="003D7A8D"/>
    <w:rsid w:val="003E18EB"/>
    <w:rsid w:val="003E19CE"/>
    <w:rsid w:val="003E2A39"/>
    <w:rsid w:val="003E3AD9"/>
    <w:rsid w:val="003E3E08"/>
    <w:rsid w:val="003E4419"/>
    <w:rsid w:val="003E5A49"/>
    <w:rsid w:val="003E5DC0"/>
    <w:rsid w:val="003E61F8"/>
    <w:rsid w:val="003E69B0"/>
    <w:rsid w:val="003E71BF"/>
    <w:rsid w:val="003E7C29"/>
    <w:rsid w:val="003F1626"/>
    <w:rsid w:val="003F5935"/>
    <w:rsid w:val="003F6336"/>
    <w:rsid w:val="003F63A1"/>
    <w:rsid w:val="003F6BFB"/>
    <w:rsid w:val="003F753A"/>
    <w:rsid w:val="003F7E36"/>
    <w:rsid w:val="0040027E"/>
    <w:rsid w:val="0040039E"/>
    <w:rsid w:val="00400CE6"/>
    <w:rsid w:val="004013D2"/>
    <w:rsid w:val="00403319"/>
    <w:rsid w:val="00403DAC"/>
    <w:rsid w:val="004042F3"/>
    <w:rsid w:val="00405508"/>
    <w:rsid w:val="004055D2"/>
    <w:rsid w:val="00405893"/>
    <w:rsid w:val="00406235"/>
    <w:rsid w:val="00406314"/>
    <w:rsid w:val="00406574"/>
    <w:rsid w:val="00406888"/>
    <w:rsid w:val="0040690B"/>
    <w:rsid w:val="00406C05"/>
    <w:rsid w:val="0040779E"/>
    <w:rsid w:val="004103A4"/>
    <w:rsid w:val="00410CD6"/>
    <w:rsid w:val="00411049"/>
    <w:rsid w:val="00411177"/>
    <w:rsid w:val="00411246"/>
    <w:rsid w:val="00412B94"/>
    <w:rsid w:val="004145DD"/>
    <w:rsid w:val="0041479E"/>
    <w:rsid w:val="004150AD"/>
    <w:rsid w:val="004160D8"/>
    <w:rsid w:val="00417888"/>
    <w:rsid w:val="00420570"/>
    <w:rsid w:val="00420BC2"/>
    <w:rsid w:val="0042195E"/>
    <w:rsid w:val="0042255E"/>
    <w:rsid w:val="0042404D"/>
    <w:rsid w:val="004243D7"/>
    <w:rsid w:val="00424D01"/>
    <w:rsid w:val="004259C4"/>
    <w:rsid w:val="00427E40"/>
    <w:rsid w:val="004301C5"/>
    <w:rsid w:val="00430EE0"/>
    <w:rsid w:val="0043106F"/>
    <w:rsid w:val="004317BF"/>
    <w:rsid w:val="00431C32"/>
    <w:rsid w:val="0043219E"/>
    <w:rsid w:val="00432DFF"/>
    <w:rsid w:val="00436A97"/>
    <w:rsid w:val="004371F3"/>
    <w:rsid w:val="00437DD1"/>
    <w:rsid w:val="0044010F"/>
    <w:rsid w:val="004415B1"/>
    <w:rsid w:val="00441AE9"/>
    <w:rsid w:val="0044223C"/>
    <w:rsid w:val="00444060"/>
    <w:rsid w:val="004448A7"/>
    <w:rsid w:val="00444CB7"/>
    <w:rsid w:val="00445881"/>
    <w:rsid w:val="00445A2C"/>
    <w:rsid w:val="00446209"/>
    <w:rsid w:val="004466D3"/>
    <w:rsid w:val="0044734E"/>
    <w:rsid w:val="00447DF1"/>
    <w:rsid w:val="004516DA"/>
    <w:rsid w:val="004523C5"/>
    <w:rsid w:val="00453468"/>
    <w:rsid w:val="00453BBE"/>
    <w:rsid w:val="004542B5"/>
    <w:rsid w:val="00454C0A"/>
    <w:rsid w:val="0045512C"/>
    <w:rsid w:val="004575AC"/>
    <w:rsid w:val="0046044C"/>
    <w:rsid w:val="00461A90"/>
    <w:rsid w:val="00462081"/>
    <w:rsid w:val="00462958"/>
    <w:rsid w:val="00462E1B"/>
    <w:rsid w:val="0046450E"/>
    <w:rsid w:val="0046753A"/>
    <w:rsid w:val="00467B8E"/>
    <w:rsid w:val="0047040B"/>
    <w:rsid w:val="00470C74"/>
    <w:rsid w:val="0047177F"/>
    <w:rsid w:val="00472D26"/>
    <w:rsid w:val="00473CCE"/>
    <w:rsid w:val="00474289"/>
    <w:rsid w:val="00474460"/>
    <w:rsid w:val="00475A9F"/>
    <w:rsid w:val="004766C0"/>
    <w:rsid w:val="004771F8"/>
    <w:rsid w:val="00477372"/>
    <w:rsid w:val="00480943"/>
    <w:rsid w:val="004822A0"/>
    <w:rsid w:val="00482490"/>
    <w:rsid w:val="0048263E"/>
    <w:rsid w:val="004829F3"/>
    <w:rsid w:val="00484C7B"/>
    <w:rsid w:val="00485105"/>
    <w:rsid w:val="004852B9"/>
    <w:rsid w:val="00485389"/>
    <w:rsid w:val="00485C88"/>
    <w:rsid w:val="0048721B"/>
    <w:rsid w:val="00487488"/>
    <w:rsid w:val="00487BE1"/>
    <w:rsid w:val="004908BE"/>
    <w:rsid w:val="00490F85"/>
    <w:rsid w:val="00491394"/>
    <w:rsid w:val="0049164D"/>
    <w:rsid w:val="00491653"/>
    <w:rsid w:val="00491944"/>
    <w:rsid w:val="00491A43"/>
    <w:rsid w:val="004928EB"/>
    <w:rsid w:val="00493D3B"/>
    <w:rsid w:val="00494BC2"/>
    <w:rsid w:val="00494DC3"/>
    <w:rsid w:val="00494E36"/>
    <w:rsid w:val="0049528D"/>
    <w:rsid w:val="004965E1"/>
    <w:rsid w:val="0049785B"/>
    <w:rsid w:val="0049785F"/>
    <w:rsid w:val="004A13D4"/>
    <w:rsid w:val="004A2353"/>
    <w:rsid w:val="004A2CA0"/>
    <w:rsid w:val="004A39EB"/>
    <w:rsid w:val="004A3A13"/>
    <w:rsid w:val="004A4EF3"/>
    <w:rsid w:val="004A53D9"/>
    <w:rsid w:val="004A796E"/>
    <w:rsid w:val="004B17C1"/>
    <w:rsid w:val="004B23B2"/>
    <w:rsid w:val="004B2FEE"/>
    <w:rsid w:val="004B407A"/>
    <w:rsid w:val="004C283F"/>
    <w:rsid w:val="004C3711"/>
    <w:rsid w:val="004C4160"/>
    <w:rsid w:val="004C43F1"/>
    <w:rsid w:val="004C4DD8"/>
    <w:rsid w:val="004C7B1E"/>
    <w:rsid w:val="004C7E50"/>
    <w:rsid w:val="004C7F5B"/>
    <w:rsid w:val="004D08E0"/>
    <w:rsid w:val="004D09F4"/>
    <w:rsid w:val="004D1C4B"/>
    <w:rsid w:val="004D2D8A"/>
    <w:rsid w:val="004D308B"/>
    <w:rsid w:val="004D35F7"/>
    <w:rsid w:val="004D406B"/>
    <w:rsid w:val="004D4B9F"/>
    <w:rsid w:val="004D51B1"/>
    <w:rsid w:val="004D5EEA"/>
    <w:rsid w:val="004D6231"/>
    <w:rsid w:val="004D62D6"/>
    <w:rsid w:val="004D6798"/>
    <w:rsid w:val="004D6DCB"/>
    <w:rsid w:val="004D73E5"/>
    <w:rsid w:val="004E0D7F"/>
    <w:rsid w:val="004E24B1"/>
    <w:rsid w:val="004E34F6"/>
    <w:rsid w:val="004E40C1"/>
    <w:rsid w:val="004E45EA"/>
    <w:rsid w:val="004E45F0"/>
    <w:rsid w:val="004E4D31"/>
    <w:rsid w:val="004E5547"/>
    <w:rsid w:val="004E65F3"/>
    <w:rsid w:val="004E68B2"/>
    <w:rsid w:val="004E6C60"/>
    <w:rsid w:val="004E6DA1"/>
    <w:rsid w:val="004E7445"/>
    <w:rsid w:val="004E7604"/>
    <w:rsid w:val="004E760D"/>
    <w:rsid w:val="004E7734"/>
    <w:rsid w:val="004F09F3"/>
    <w:rsid w:val="004F1610"/>
    <w:rsid w:val="004F2876"/>
    <w:rsid w:val="004F3029"/>
    <w:rsid w:val="004F3EAB"/>
    <w:rsid w:val="004F4E67"/>
    <w:rsid w:val="004F5FD4"/>
    <w:rsid w:val="0050075C"/>
    <w:rsid w:val="00501635"/>
    <w:rsid w:val="00502897"/>
    <w:rsid w:val="00504E8D"/>
    <w:rsid w:val="00506AB7"/>
    <w:rsid w:val="005071A6"/>
    <w:rsid w:val="00510577"/>
    <w:rsid w:val="00510A44"/>
    <w:rsid w:val="0051275C"/>
    <w:rsid w:val="00512AC2"/>
    <w:rsid w:val="00512F7B"/>
    <w:rsid w:val="005135AF"/>
    <w:rsid w:val="00513E2F"/>
    <w:rsid w:val="005145B7"/>
    <w:rsid w:val="00514747"/>
    <w:rsid w:val="00515EC5"/>
    <w:rsid w:val="005160EC"/>
    <w:rsid w:val="00517104"/>
    <w:rsid w:val="00517C99"/>
    <w:rsid w:val="00520C68"/>
    <w:rsid w:val="00520CF9"/>
    <w:rsid w:val="00521207"/>
    <w:rsid w:val="00521A2F"/>
    <w:rsid w:val="00522046"/>
    <w:rsid w:val="00522867"/>
    <w:rsid w:val="005235DE"/>
    <w:rsid w:val="005259A7"/>
    <w:rsid w:val="00527275"/>
    <w:rsid w:val="0053158A"/>
    <w:rsid w:val="005315C2"/>
    <w:rsid w:val="00531628"/>
    <w:rsid w:val="005319D0"/>
    <w:rsid w:val="00531AA8"/>
    <w:rsid w:val="00531B46"/>
    <w:rsid w:val="00531E42"/>
    <w:rsid w:val="005323D9"/>
    <w:rsid w:val="00533925"/>
    <w:rsid w:val="00533D98"/>
    <w:rsid w:val="0053496C"/>
    <w:rsid w:val="0053497C"/>
    <w:rsid w:val="00534F42"/>
    <w:rsid w:val="0053766B"/>
    <w:rsid w:val="00537F5E"/>
    <w:rsid w:val="0054021A"/>
    <w:rsid w:val="0054056A"/>
    <w:rsid w:val="00540ABF"/>
    <w:rsid w:val="00541C5E"/>
    <w:rsid w:val="005437CF"/>
    <w:rsid w:val="00544335"/>
    <w:rsid w:val="005455C1"/>
    <w:rsid w:val="00546190"/>
    <w:rsid w:val="005501C6"/>
    <w:rsid w:val="005521E3"/>
    <w:rsid w:val="00552A34"/>
    <w:rsid w:val="00552DA6"/>
    <w:rsid w:val="00553600"/>
    <w:rsid w:val="00553C0B"/>
    <w:rsid w:val="00554876"/>
    <w:rsid w:val="0055582F"/>
    <w:rsid w:val="005567D2"/>
    <w:rsid w:val="0055690D"/>
    <w:rsid w:val="00560062"/>
    <w:rsid w:val="005603A8"/>
    <w:rsid w:val="00560B31"/>
    <w:rsid w:val="00560BD2"/>
    <w:rsid w:val="00562DDD"/>
    <w:rsid w:val="0056643A"/>
    <w:rsid w:val="00567EDA"/>
    <w:rsid w:val="005709C2"/>
    <w:rsid w:val="0057298A"/>
    <w:rsid w:val="005732BA"/>
    <w:rsid w:val="00573443"/>
    <w:rsid w:val="005739CA"/>
    <w:rsid w:val="00574C9B"/>
    <w:rsid w:val="0057685A"/>
    <w:rsid w:val="00576CE4"/>
    <w:rsid w:val="00576CEF"/>
    <w:rsid w:val="0058020C"/>
    <w:rsid w:val="005807E3"/>
    <w:rsid w:val="00580B47"/>
    <w:rsid w:val="005812CF"/>
    <w:rsid w:val="00582707"/>
    <w:rsid w:val="00583178"/>
    <w:rsid w:val="005832F4"/>
    <w:rsid w:val="0058336A"/>
    <w:rsid w:val="0058360E"/>
    <w:rsid w:val="0058363C"/>
    <w:rsid w:val="0058391E"/>
    <w:rsid w:val="005847F9"/>
    <w:rsid w:val="0058558E"/>
    <w:rsid w:val="00586065"/>
    <w:rsid w:val="005875D6"/>
    <w:rsid w:val="00590208"/>
    <w:rsid w:val="00590898"/>
    <w:rsid w:val="00591142"/>
    <w:rsid w:val="005919DB"/>
    <w:rsid w:val="00592E40"/>
    <w:rsid w:val="00596317"/>
    <w:rsid w:val="00596B38"/>
    <w:rsid w:val="00596E75"/>
    <w:rsid w:val="00597539"/>
    <w:rsid w:val="00597668"/>
    <w:rsid w:val="005A19B8"/>
    <w:rsid w:val="005A1B50"/>
    <w:rsid w:val="005A4017"/>
    <w:rsid w:val="005A42F7"/>
    <w:rsid w:val="005A46BC"/>
    <w:rsid w:val="005A58B1"/>
    <w:rsid w:val="005A6BEF"/>
    <w:rsid w:val="005A6ED4"/>
    <w:rsid w:val="005A7771"/>
    <w:rsid w:val="005B2201"/>
    <w:rsid w:val="005B27B1"/>
    <w:rsid w:val="005B2EFC"/>
    <w:rsid w:val="005B3670"/>
    <w:rsid w:val="005B3DBE"/>
    <w:rsid w:val="005B40D0"/>
    <w:rsid w:val="005B4D5D"/>
    <w:rsid w:val="005B4DED"/>
    <w:rsid w:val="005B5BDD"/>
    <w:rsid w:val="005B5D00"/>
    <w:rsid w:val="005B5D24"/>
    <w:rsid w:val="005B5D68"/>
    <w:rsid w:val="005B6009"/>
    <w:rsid w:val="005B748A"/>
    <w:rsid w:val="005B756D"/>
    <w:rsid w:val="005B7702"/>
    <w:rsid w:val="005B7AB1"/>
    <w:rsid w:val="005C07D1"/>
    <w:rsid w:val="005C0EBE"/>
    <w:rsid w:val="005C27FA"/>
    <w:rsid w:val="005C3915"/>
    <w:rsid w:val="005C5DCB"/>
    <w:rsid w:val="005C7E3F"/>
    <w:rsid w:val="005D03DE"/>
    <w:rsid w:val="005D0A0F"/>
    <w:rsid w:val="005D0CED"/>
    <w:rsid w:val="005D1792"/>
    <w:rsid w:val="005D1A81"/>
    <w:rsid w:val="005D20AE"/>
    <w:rsid w:val="005D4C40"/>
    <w:rsid w:val="005E104C"/>
    <w:rsid w:val="005E1865"/>
    <w:rsid w:val="005E1AF2"/>
    <w:rsid w:val="005E1B1B"/>
    <w:rsid w:val="005E25C5"/>
    <w:rsid w:val="005E4F2E"/>
    <w:rsid w:val="005E5884"/>
    <w:rsid w:val="005E5E48"/>
    <w:rsid w:val="005E6DBB"/>
    <w:rsid w:val="005F0DC7"/>
    <w:rsid w:val="005F18AF"/>
    <w:rsid w:val="005F1BCF"/>
    <w:rsid w:val="005F1E73"/>
    <w:rsid w:val="005F2FFB"/>
    <w:rsid w:val="005F5FC6"/>
    <w:rsid w:val="005F673B"/>
    <w:rsid w:val="005F69EE"/>
    <w:rsid w:val="005F7E90"/>
    <w:rsid w:val="006002A5"/>
    <w:rsid w:val="00601786"/>
    <w:rsid w:val="00602F81"/>
    <w:rsid w:val="006037C7"/>
    <w:rsid w:val="00606A14"/>
    <w:rsid w:val="00611091"/>
    <w:rsid w:val="00611B33"/>
    <w:rsid w:val="00612416"/>
    <w:rsid w:val="0061285B"/>
    <w:rsid w:val="0061296C"/>
    <w:rsid w:val="00612A92"/>
    <w:rsid w:val="006133AF"/>
    <w:rsid w:val="00613CC6"/>
    <w:rsid w:val="0061464A"/>
    <w:rsid w:val="00614E05"/>
    <w:rsid w:val="00614FCD"/>
    <w:rsid w:val="0061531B"/>
    <w:rsid w:val="00615975"/>
    <w:rsid w:val="00615D43"/>
    <w:rsid w:val="0061613A"/>
    <w:rsid w:val="006162EC"/>
    <w:rsid w:val="00617F59"/>
    <w:rsid w:val="00620ACE"/>
    <w:rsid w:val="006233EA"/>
    <w:rsid w:val="006234F8"/>
    <w:rsid w:val="00623662"/>
    <w:rsid w:val="00623C18"/>
    <w:rsid w:val="0062477E"/>
    <w:rsid w:val="00625D77"/>
    <w:rsid w:val="00626F21"/>
    <w:rsid w:val="00627CB6"/>
    <w:rsid w:val="00630340"/>
    <w:rsid w:val="00630459"/>
    <w:rsid w:val="00630C92"/>
    <w:rsid w:val="00631D38"/>
    <w:rsid w:val="0063281E"/>
    <w:rsid w:val="00633FF2"/>
    <w:rsid w:val="00635B63"/>
    <w:rsid w:val="00635DA5"/>
    <w:rsid w:val="0063704C"/>
    <w:rsid w:val="006370B3"/>
    <w:rsid w:val="0064086D"/>
    <w:rsid w:val="00640AC4"/>
    <w:rsid w:val="00641CF4"/>
    <w:rsid w:val="00641EA1"/>
    <w:rsid w:val="00642276"/>
    <w:rsid w:val="00643EF9"/>
    <w:rsid w:val="00644BC3"/>
    <w:rsid w:val="006457FA"/>
    <w:rsid w:val="00645F5B"/>
    <w:rsid w:val="00647E1B"/>
    <w:rsid w:val="0065181E"/>
    <w:rsid w:val="00651F9B"/>
    <w:rsid w:val="0065256C"/>
    <w:rsid w:val="00653FB4"/>
    <w:rsid w:val="00654BF1"/>
    <w:rsid w:val="00655298"/>
    <w:rsid w:val="006565F8"/>
    <w:rsid w:val="00656739"/>
    <w:rsid w:val="006611E8"/>
    <w:rsid w:val="00661517"/>
    <w:rsid w:val="0066170E"/>
    <w:rsid w:val="00661F38"/>
    <w:rsid w:val="00664B30"/>
    <w:rsid w:val="006651AF"/>
    <w:rsid w:val="0066568B"/>
    <w:rsid w:val="00665B73"/>
    <w:rsid w:val="00666DAF"/>
    <w:rsid w:val="00667F16"/>
    <w:rsid w:val="00670A47"/>
    <w:rsid w:val="00671E61"/>
    <w:rsid w:val="00671ED2"/>
    <w:rsid w:val="006722A5"/>
    <w:rsid w:val="006724BD"/>
    <w:rsid w:val="00673C83"/>
    <w:rsid w:val="00674333"/>
    <w:rsid w:val="00674773"/>
    <w:rsid w:val="006754B5"/>
    <w:rsid w:val="006755E9"/>
    <w:rsid w:val="00675D91"/>
    <w:rsid w:val="00675EE6"/>
    <w:rsid w:val="00676914"/>
    <w:rsid w:val="0068021F"/>
    <w:rsid w:val="0068116F"/>
    <w:rsid w:val="00681235"/>
    <w:rsid w:val="00682021"/>
    <w:rsid w:val="006846A6"/>
    <w:rsid w:val="00684903"/>
    <w:rsid w:val="00686102"/>
    <w:rsid w:val="0068637E"/>
    <w:rsid w:val="0068639F"/>
    <w:rsid w:val="0068650D"/>
    <w:rsid w:val="006901ED"/>
    <w:rsid w:val="0069141D"/>
    <w:rsid w:val="00691445"/>
    <w:rsid w:val="006917AF"/>
    <w:rsid w:val="00691C26"/>
    <w:rsid w:val="0069243A"/>
    <w:rsid w:val="00692EAF"/>
    <w:rsid w:val="00693A37"/>
    <w:rsid w:val="00694432"/>
    <w:rsid w:val="0069535D"/>
    <w:rsid w:val="00695568"/>
    <w:rsid w:val="0069571F"/>
    <w:rsid w:val="00696215"/>
    <w:rsid w:val="00696241"/>
    <w:rsid w:val="0069673C"/>
    <w:rsid w:val="00696D14"/>
    <w:rsid w:val="00697286"/>
    <w:rsid w:val="006972CB"/>
    <w:rsid w:val="006976AC"/>
    <w:rsid w:val="0069785C"/>
    <w:rsid w:val="006A111C"/>
    <w:rsid w:val="006A1A91"/>
    <w:rsid w:val="006A1C0A"/>
    <w:rsid w:val="006A26C6"/>
    <w:rsid w:val="006A493F"/>
    <w:rsid w:val="006A4FA8"/>
    <w:rsid w:val="006A6851"/>
    <w:rsid w:val="006A725D"/>
    <w:rsid w:val="006B01BE"/>
    <w:rsid w:val="006B14FD"/>
    <w:rsid w:val="006B1D47"/>
    <w:rsid w:val="006B3279"/>
    <w:rsid w:val="006B3B38"/>
    <w:rsid w:val="006B410B"/>
    <w:rsid w:val="006B427B"/>
    <w:rsid w:val="006B4A10"/>
    <w:rsid w:val="006B4F1D"/>
    <w:rsid w:val="006B5BC5"/>
    <w:rsid w:val="006B5E24"/>
    <w:rsid w:val="006B75D3"/>
    <w:rsid w:val="006B7B1F"/>
    <w:rsid w:val="006B7E28"/>
    <w:rsid w:val="006C0505"/>
    <w:rsid w:val="006C204C"/>
    <w:rsid w:val="006C2FEB"/>
    <w:rsid w:val="006C3B28"/>
    <w:rsid w:val="006C4FB8"/>
    <w:rsid w:val="006C57E3"/>
    <w:rsid w:val="006C621A"/>
    <w:rsid w:val="006D08EB"/>
    <w:rsid w:val="006D2079"/>
    <w:rsid w:val="006D3C2C"/>
    <w:rsid w:val="006D43FA"/>
    <w:rsid w:val="006D4D9A"/>
    <w:rsid w:val="006D667D"/>
    <w:rsid w:val="006D67FC"/>
    <w:rsid w:val="006D6917"/>
    <w:rsid w:val="006D7D6A"/>
    <w:rsid w:val="006E08D6"/>
    <w:rsid w:val="006E0F42"/>
    <w:rsid w:val="006E1460"/>
    <w:rsid w:val="006E1EA4"/>
    <w:rsid w:val="006E2378"/>
    <w:rsid w:val="006E29B7"/>
    <w:rsid w:val="006E2F07"/>
    <w:rsid w:val="006E6395"/>
    <w:rsid w:val="006E667B"/>
    <w:rsid w:val="006E6B21"/>
    <w:rsid w:val="006E6D1B"/>
    <w:rsid w:val="006E7510"/>
    <w:rsid w:val="006E7631"/>
    <w:rsid w:val="006E79E5"/>
    <w:rsid w:val="006E7C8D"/>
    <w:rsid w:val="006F0C24"/>
    <w:rsid w:val="006F2A02"/>
    <w:rsid w:val="006F30AB"/>
    <w:rsid w:val="006F3B29"/>
    <w:rsid w:val="006F59F3"/>
    <w:rsid w:val="006F78AF"/>
    <w:rsid w:val="00700F6D"/>
    <w:rsid w:val="00701074"/>
    <w:rsid w:val="0070163C"/>
    <w:rsid w:val="00702CCD"/>
    <w:rsid w:val="00703013"/>
    <w:rsid w:val="007037DC"/>
    <w:rsid w:val="00703E1D"/>
    <w:rsid w:val="0070461F"/>
    <w:rsid w:val="00706117"/>
    <w:rsid w:val="00706ACB"/>
    <w:rsid w:val="0070717A"/>
    <w:rsid w:val="007101B2"/>
    <w:rsid w:val="00713887"/>
    <w:rsid w:val="00714A2E"/>
    <w:rsid w:val="00714CE4"/>
    <w:rsid w:val="00716601"/>
    <w:rsid w:val="007203B0"/>
    <w:rsid w:val="007209A3"/>
    <w:rsid w:val="00720E0F"/>
    <w:rsid w:val="00721F63"/>
    <w:rsid w:val="00725924"/>
    <w:rsid w:val="00725BEF"/>
    <w:rsid w:val="00725E5E"/>
    <w:rsid w:val="007268D5"/>
    <w:rsid w:val="007277E0"/>
    <w:rsid w:val="00727B76"/>
    <w:rsid w:val="00730946"/>
    <w:rsid w:val="00730CA2"/>
    <w:rsid w:val="0073143B"/>
    <w:rsid w:val="00732412"/>
    <w:rsid w:val="00733CB1"/>
    <w:rsid w:val="00735934"/>
    <w:rsid w:val="00735C14"/>
    <w:rsid w:val="00736C09"/>
    <w:rsid w:val="007379AC"/>
    <w:rsid w:val="007403B2"/>
    <w:rsid w:val="00740960"/>
    <w:rsid w:val="00740C87"/>
    <w:rsid w:val="00741044"/>
    <w:rsid w:val="00741497"/>
    <w:rsid w:val="00741E92"/>
    <w:rsid w:val="00743237"/>
    <w:rsid w:val="00743CEB"/>
    <w:rsid w:val="00743D0C"/>
    <w:rsid w:val="007447E0"/>
    <w:rsid w:val="007449A9"/>
    <w:rsid w:val="00744AB2"/>
    <w:rsid w:val="007464A0"/>
    <w:rsid w:val="007468F0"/>
    <w:rsid w:val="00746CF3"/>
    <w:rsid w:val="0075262D"/>
    <w:rsid w:val="0075345F"/>
    <w:rsid w:val="00753564"/>
    <w:rsid w:val="00754DEF"/>
    <w:rsid w:val="0075656D"/>
    <w:rsid w:val="00756606"/>
    <w:rsid w:val="007570E5"/>
    <w:rsid w:val="00757466"/>
    <w:rsid w:val="0076089D"/>
    <w:rsid w:val="00763B35"/>
    <w:rsid w:val="007646D5"/>
    <w:rsid w:val="00765381"/>
    <w:rsid w:val="007656FE"/>
    <w:rsid w:val="007667E3"/>
    <w:rsid w:val="00766D7C"/>
    <w:rsid w:val="00771037"/>
    <w:rsid w:val="00771981"/>
    <w:rsid w:val="00773C82"/>
    <w:rsid w:val="00773F3F"/>
    <w:rsid w:val="00774E24"/>
    <w:rsid w:val="00775337"/>
    <w:rsid w:val="0077557A"/>
    <w:rsid w:val="007762C6"/>
    <w:rsid w:val="00776747"/>
    <w:rsid w:val="007775D5"/>
    <w:rsid w:val="007777A4"/>
    <w:rsid w:val="00777828"/>
    <w:rsid w:val="007778F2"/>
    <w:rsid w:val="00780368"/>
    <w:rsid w:val="00780A1B"/>
    <w:rsid w:val="00781647"/>
    <w:rsid w:val="007824FA"/>
    <w:rsid w:val="007832C9"/>
    <w:rsid w:val="00785710"/>
    <w:rsid w:val="00785B9D"/>
    <w:rsid w:val="00786886"/>
    <w:rsid w:val="00787952"/>
    <w:rsid w:val="00787E1E"/>
    <w:rsid w:val="00790219"/>
    <w:rsid w:val="007924C5"/>
    <w:rsid w:val="007924CA"/>
    <w:rsid w:val="00792634"/>
    <w:rsid w:val="00793AE1"/>
    <w:rsid w:val="00794B7A"/>
    <w:rsid w:val="00795385"/>
    <w:rsid w:val="00795E90"/>
    <w:rsid w:val="00796024"/>
    <w:rsid w:val="007A0080"/>
    <w:rsid w:val="007A0296"/>
    <w:rsid w:val="007A235D"/>
    <w:rsid w:val="007A2A62"/>
    <w:rsid w:val="007A2C54"/>
    <w:rsid w:val="007A4E37"/>
    <w:rsid w:val="007A5ED3"/>
    <w:rsid w:val="007B01DF"/>
    <w:rsid w:val="007B0B67"/>
    <w:rsid w:val="007B1FD0"/>
    <w:rsid w:val="007B2A21"/>
    <w:rsid w:val="007B2F20"/>
    <w:rsid w:val="007B3E5E"/>
    <w:rsid w:val="007B5E43"/>
    <w:rsid w:val="007B7084"/>
    <w:rsid w:val="007B751D"/>
    <w:rsid w:val="007C2AE0"/>
    <w:rsid w:val="007C3FB9"/>
    <w:rsid w:val="007C44B1"/>
    <w:rsid w:val="007C46BF"/>
    <w:rsid w:val="007C5ED7"/>
    <w:rsid w:val="007C667F"/>
    <w:rsid w:val="007C66DE"/>
    <w:rsid w:val="007D1171"/>
    <w:rsid w:val="007D1408"/>
    <w:rsid w:val="007D19D8"/>
    <w:rsid w:val="007D3224"/>
    <w:rsid w:val="007D44BA"/>
    <w:rsid w:val="007D67B3"/>
    <w:rsid w:val="007D74FB"/>
    <w:rsid w:val="007E2A8D"/>
    <w:rsid w:val="007E4931"/>
    <w:rsid w:val="007E4972"/>
    <w:rsid w:val="007E5214"/>
    <w:rsid w:val="007E5322"/>
    <w:rsid w:val="007E7C1E"/>
    <w:rsid w:val="007F0DE9"/>
    <w:rsid w:val="007F1624"/>
    <w:rsid w:val="007F21EB"/>
    <w:rsid w:val="007F4F1C"/>
    <w:rsid w:val="007F51EE"/>
    <w:rsid w:val="007F6688"/>
    <w:rsid w:val="007F6BBB"/>
    <w:rsid w:val="007F6CB0"/>
    <w:rsid w:val="007F70BA"/>
    <w:rsid w:val="007F72AE"/>
    <w:rsid w:val="007F7931"/>
    <w:rsid w:val="00800865"/>
    <w:rsid w:val="00800DC4"/>
    <w:rsid w:val="00800DF9"/>
    <w:rsid w:val="008010CA"/>
    <w:rsid w:val="00801648"/>
    <w:rsid w:val="0080165B"/>
    <w:rsid w:val="008019A9"/>
    <w:rsid w:val="00803350"/>
    <w:rsid w:val="00803A7F"/>
    <w:rsid w:val="00803C8A"/>
    <w:rsid w:val="00804273"/>
    <w:rsid w:val="00804C26"/>
    <w:rsid w:val="00806392"/>
    <w:rsid w:val="00806739"/>
    <w:rsid w:val="00807137"/>
    <w:rsid w:val="00810B3C"/>
    <w:rsid w:val="008116EB"/>
    <w:rsid w:val="00812D9C"/>
    <w:rsid w:val="00813007"/>
    <w:rsid w:val="0081323E"/>
    <w:rsid w:val="008138BF"/>
    <w:rsid w:val="00813D47"/>
    <w:rsid w:val="00816183"/>
    <w:rsid w:val="0081627B"/>
    <w:rsid w:val="0081704C"/>
    <w:rsid w:val="008171E9"/>
    <w:rsid w:val="008173BF"/>
    <w:rsid w:val="00817A46"/>
    <w:rsid w:val="00820917"/>
    <w:rsid w:val="008216C8"/>
    <w:rsid w:val="0082262B"/>
    <w:rsid w:val="00823B84"/>
    <w:rsid w:val="00824C11"/>
    <w:rsid w:val="00826668"/>
    <w:rsid w:val="00826FF4"/>
    <w:rsid w:val="00830165"/>
    <w:rsid w:val="0083297F"/>
    <w:rsid w:val="00834374"/>
    <w:rsid w:val="00834961"/>
    <w:rsid w:val="00834F43"/>
    <w:rsid w:val="008357DF"/>
    <w:rsid w:val="00835B8F"/>
    <w:rsid w:val="0083691D"/>
    <w:rsid w:val="00837608"/>
    <w:rsid w:val="00840D9B"/>
    <w:rsid w:val="00840E85"/>
    <w:rsid w:val="00841044"/>
    <w:rsid w:val="00841492"/>
    <w:rsid w:val="00841A29"/>
    <w:rsid w:val="00841F4A"/>
    <w:rsid w:val="00842A35"/>
    <w:rsid w:val="00843362"/>
    <w:rsid w:val="008440A9"/>
    <w:rsid w:val="008445BF"/>
    <w:rsid w:val="008445DB"/>
    <w:rsid w:val="00845333"/>
    <w:rsid w:val="00845ECF"/>
    <w:rsid w:val="00846FD6"/>
    <w:rsid w:val="008470B8"/>
    <w:rsid w:val="00850151"/>
    <w:rsid w:val="00851E40"/>
    <w:rsid w:val="00852320"/>
    <w:rsid w:val="00853722"/>
    <w:rsid w:val="008552E3"/>
    <w:rsid w:val="00856076"/>
    <w:rsid w:val="00856325"/>
    <w:rsid w:val="008606F6"/>
    <w:rsid w:val="00860906"/>
    <w:rsid w:val="00860FBA"/>
    <w:rsid w:val="00861703"/>
    <w:rsid w:val="00861B73"/>
    <w:rsid w:val="00861D41"/>
    <w:rsid w:val="008631AA"/>
    <w:rsid w:val="00863C29"/>
    <w:rsid w:val="008645BB"/>
    <w:rsid w:val="00864E59"/>
    <w:rsid w:val="00864E80"/>
    <w:rsid w:val="008651F7"/>
    <w:rsid w:val="008657CA"/>
    <w:rsid w:val="00865B98"/>
    <w:rsid w:val="00866BA2"/>
    <w:rsid w:val="00870844"/>
    <w:rsid w:val="0087132A"/>
    <w:rsid w:val="00871805"/>
    <w:rsid w:val="00872662"/>
    <w:rsid w:val="00872875"/>
    <w:rsid w:val="00872F79"/>
    <w:rsid w:val="008748B4"/>
    <w:rsid w:val="00874C61"/>
    <w:rsid w:val="00874D2E"/>
    <w:rsid w:val="00875458"/>
    <w:rsid w:val="00875E7D"/>
    <w:rsid w:val="008761F1"/>
    <w:rsid w:val="00876B46"/>
    <w:rsid w:val="00880320"/>
    <w:rsid w:val="00880A07"/>
    <w:rsid w:val="00881143"/>
    <w:rsid w:val="0088157A"/>
    <w:rsid w:val="00881C52"/>
    <w:rsid w:val="008826AD"/>
    <w:rsid w:val="00882725"/>
    <w:rsid w:val="00882937"/>
    <w:rsid w:val="008839A0"/>
    <w:rsid w:val="008841F5"/>
    <w:rsid w:val="00884E5C"/>
    <w:rsid w:val="00885051"/>
    <w:rsid w:val="008864C7"/>
    <w:rsid w:val="0088714E"/>
    <w:rsid w:val="00887351"/>
    <w:rsid w:val="00887BE8"/>
    <w:rsid w:val="00890A6C"/>
    <w:rsid w:val="00891095"/>
    <w:rsid w:val="0089167C"/>
    <w:rsid w:val="00891D7F"/>
    <w:rsid w:val="00891E89"/>
    <w:rsid w:val="0089294E"/>
    <w:rsid w:val="00892E6D"/>
    <w:rsid w:val="0089384E"/>
    <w:rsid w:val="0089568F"/>
    <w:rsid w:val="00895730"/>
    <w:rsid w:val="008963F5"/>
    <w:rsid w:val="0089666C"/>
    <w:rsid w:val="00897222"/>
    <w:rsid w:val="008A198E"/>
    <w:rsid w:val="008A2228"/>
    <w:rsid w:val="008A2271"/>
    <w:rsid w:val="008A43CD"/>
    <w:rsid w:val="008A5A64"/>
    <w:rsid w:val="008A6280"/>
    <w:rsid w:val="008A7C84"/>
    <w:rsid w:val="008B01B6"/>
    <w:rsid w:val="008B0F64"/>
    <w:rsid w:val="008B20F4"/>
    <w:rsid w:val="008B21D6"/>
    <w:rsid w:val="008B3B92"/>
    <w:rsid w:val="008B4EDE"/>
    <w:rsid w:val="008B7751"/>
    <w:rsid w:val="008B7BD8"/>
    <w:rsid w:val="008C0114"/>
    <w:rsid w:val="008C0EC6"/>
    <w:rsid w:val="008C1E18"/>
    <w:rsid w:val="008C1E23"/>
    <w:rsid w:val="008C277D"/>
    <w:rsid w:val="008C2CF7"/>
    <w:rsid w:val="008C2F37"/>
    <w:rsid w:val="008C48FE"/>
    <w:rsid w:val="008C4BC6"/>
    <w:rsid w:val="008C5483"/>
    <w:rsid w:val="008C5B7D"/>
    <w:rsid w:val="008C6CBC"/>
    <w:rsid w:val="008C6F0B"/>
    <w:rsid w:val="008C7342"/>
    <w:rsid w:val="008C7B14"/>
    <w:rsid w:val="008D00EF"/>
    <w:rsid w:val="008D0A3B"/>
    <w:rsid w:val="008D0D94"/>
    <w:rsid w:val="008D178A"/>
    <w:rsid w:val="008D2429"/>
    <w:rsid w:val="008D2981"/>
    <w:rsid w:val="008D3066"/>
    <w:rsid w:val="008D4780"/>
    <w:rsid w:val="008D47E1"/>
    <w:rsid w:val="008D4D4A"/>
    <w:rsid w:val="008E1B81"/>
    <w:rsid w:val="008E1C04"/>
    <w:rsid w:val="008E3C4E"/>
    <w:rsid w:val="008E4F6F"/>
    <w:rsid w:val="008E5864"/>
    <w:rsid w:val="008E5BE6"/>
    <w:rsid w:val="008E5D92"/>
    <w:rsid w:val="008E77BA"/>
    <w:rsid w:val="008E7987"/>
    <w:rsid w:val="008F023A"/>
    <w:rsid w:val="008F0408"/>
    <w:rsid w:val="008F0C72"/>
    <w:rsid w:val="008F2D53"/>
    <w:rsid w:val="008F3B3B"/>
    <w:rsid w:val="008F3B45"/>
    <w:rsid w:val="008F48A9"/>
    <w:rsid w:val="008F4A05"/>
    <w:rsid w:val="008F6E79"/>
    <w:rsid w:val="008F74AE"/>
    <w:rsid w:val="00900DDB"/>
    <w:rsid w:val="00901540"/>
    <w:rsid w:val="009029D2"/>
    <w:rsid w:val="00903460"/>
    <w:rsid w:val="00904186"/>
    <w:rsid w:val="00904DEE"/>
    <w:rsid w:val="00904F6D"/>
    <w:rsid w:val="0090576A"/>
    <w:rsid w:val="00905ACF"/>
    <w:rsid w:val="00906CF7"/>
    <w:rsid w:val="009075AF"/>
    <w:rsid w:val="00911F95"/>
    <w:rsid w:val="009128A9"/>
    <w:rsid w:val="00912CDE"/>
    <w:rsid w:val="009137A0"/>
    <w:rsid w:val="00914305"/>
    <w:rsid w:val="00914CE9"/>
    <w:rsid w:val="009159CE"/>
    <w:rsid w:val="009163FB"/>
    <w:rsid w:val="00916667"/>
    <w:rsid w:val="00920F04"/>
    <w:rsid w:val="009221E7"/>
    <w:rsid w:val="00922927"/>
    <w:rsid w:val="0092292E"/>
    <w:rsid w:val="00923211"/>
    <w:rsid w:val="00923FBF"/>
    <w:rsid w:val="00924FE4"/>
    <w:rsid w:val="0092545F"/>
    <w:rsid w:val="00926BE8"/>
    <w:rsid w:val="00930F7F"/>
    <w:rsid w:val="009310A9"/>
    <w:rsid w:val="00931152"/>
    <w:rsid w:val="009317A3"/>
    <w:rsid w:val="009318BE"/>
    <w:rsid w:val="00931AF8"/>
    <w:rsid w:val="00931B38"/>
    <w:rsid w:val="00932059"/>
    <w:rsid w:val="00940BB5"/>
    <w:rsid w:val="0094107C"/>
    <w:rsid w:val="009414D5"/>
    <w:rsid w:val="00941747"/>
    <w:rsid w:val="009418D9"/>
    <w:rsid w:val="0094200E"/>
    <w:rsid w:val="00942270"/>
    <w:rsid w:val="00942D92"/>
    <w:rsid w:val="009431AC"/>
    <w:rsid w:val="00943AF1"/>
    <w:rsid w:val="00943CA6"/>
    <w:rsid w:val="00945471"/>
    <w:rsid w:val="009455E8"/>
    <w:rsid w:val="009457F7"/>
    <w:rsid w:val="00946B05"/>
    <w:rsid w:val="009474B1"/>
    <w:rsid w:val="00947560"/>
    <w:rsid w:val="009479BC"/>
    <w:rsid w:val="00950458"/>
    <w:rsid w:val="009504F7"/>
    <w:rsid w:val="00950E0E"/>
    <w:rsid w:val="009510DA"/>
    <w:rsid w:val="0095152B"/>
    <w:rsid w:val="00951A21"/>
    <w:rsid w:val="009532DA"/>
    <w:rsid w:val="0095402A"/>
    <w:rsid w:val="009541FE"/>
    <w:rsid w:val="0095478C"/>
    <w:rsid w:val="00955426"/>
    <w:rsid w:val="00955C3A"/>
    <w:rsid w:val="00956110"/>
    <w:rsid w:val="00957D88"/>
    <w:rsid w:val="00960988"/>
    <w:rsid w:val="00961214"/>
    <w:rsid w:val="00961398"/>
    <w:rsid w:val="009645BC"/>
    <w:rsid w:val="0096529E"/>
    <w:rsid w:val="00965ED6"/>
    <w:rsid w:val="0096685D"/>
    <w:rsid w:val="00966E57"/>
    <w:rsid w:val="00970A6F"/>
    <w:rsid w:val="00971368"/>
    <w:rsid w:val="00971EB0"/>
    <w:rsid w:val="0097319D"/>
    <w:rsid w:val="009769EE"/>
    <w:rsid w:val="00976F80"/>
    <w:rsid w:val="009777F6"/>
    <w:rsid w:val="00980CCF"/>
    <w:rsid w:val="00980CE4"/>
    <w:rsid w:val="0098120B"/>
    <w:rsid w:val="009816D2"/>
    <w:rsid w:val="00982179"/>
    <w:rsid w:val="0098568D"/>
    <w:rsid w:val="00985C48"/>
    <w:rsid w:val="009865DC"/>
    <w:rsid w:val="00986795"/>
    <w:rsid w:val="00992C43"/>
    <w:rsid w:val="00992D27"/>
    <w:rsid w:val="00993098"/>
    <w:rsid w:val="0099337D"/>
    <w:rsid w:val="0099342E"/>
    <w:rsid w:val="009935EC"/>
    <w:rsid w:val="009941B1"/>
    <w:rsid w:val="00994576"/>
    <w:rsid w:val="00995FD7"/>
    <w:rsid w:val="009970B0"/>
    <w:rsid w:val="00997963"/>
    <w:rsid w:val="009A3CE9"/>
    <w:rsid w:val="009A43C2"/>
    <w:rsid w:val="009A460C"/>
    <w:rsid w:val="009A4A99"/>
    <w:rsid w:val="009A6120"/>
    <w:rsid w:val="009A66F3"/>
    <w:rsid w:val="009A6798"/>
    <w:rsid w:val="009A752E"/>
    <w:rsid w:val="009B078F"/>
    <w:rsid w:val="009B089A"/>
    <w:rsid w:val="009B0936"/>
    <w:rsid w:val="009B20A6"/>
    <w:rsid w:val="009B2553"/>
    <w:rsid w:val="009B32BA"/>
    <w:rsid w:val="009B3647"/>
    <w:rsid w:val="009B42B7"/>
    <w:rsid w:val="009B47B4"/>
    <w:rsid w:val="009B5142"/>
    <w:rsid w:val="009B5344"/>
    <w:rsid w:val="009B5E33"/>
    <w:rsid w:val="009B6507"/>
    <w:rsid w:val="009B7A4D"/>
    <w:rsid w:val="009C0684"/>
    <w:rsid w:val="009C1370"/>
    <w:rsid w:val="009C1764"/>
    <w:rsid w:val="009C2D32"/>
    <w:rsid w:val="009C31D4"/>
    <w:rsid w:val="009C3E3A"/>
    <w:rsid w:val="009C4D65"/>
    <w:rsid w:val="009C5941"/>
    <w:rsid w:val="009C6892"/>
    <w:rsid w:val="009D04DE"/>
    <w:rsid w:val="009D1C2F"/>
    <w:rsid w:val="009D1CB9"/>
    <w:rsid w:val="009D2352"/>
    <w:rsid w:val="009D2C9E"/>
    <w:rsid w:val="009D2E34"/>
    <w:rsid w:val="009D48EC"/>
    <w:rsid w:val="009D4C8B"/>
    <w:rsid w:val="009D52A0"/>
    <w:rsid w:val="009D670E"/>
    <w:rsid w:val="009E0E7C"/>
    <w:rsid w:val="009E1AC2"/>
    <w:rsid w:val="009E223D"/>
    <w:rsid w:val="009E2E81"/>
    <w:rsid w:val="009E2F84"/>
    <w:rsid w:val="009E324D"/>
    <w:rsid w:val="009E32C3"/>
    <w:rsid w:val="009E453A"/>
    <w:rsid w:val="009E560F"/>
    <w:rsid w:val="009E5D70"/>
    <w:rsid w:val="009E673E"/>
    <w:rsid w:val="009E792D"/>
    <w:rsid w:val="009F23AE"/>
    <w:rsid w:val="009F295A"/>
    <w:rsid w:val="009F295C"/>
    <w:rsid w:val="009F29D1"/>
    <w:rsid w:val="009F29E6"/>
    <w:rsid w:val="009F2A44"/>
    <w:rsid w:val="009F3708"/>
    <w:rsid w:val="009F38E8"/>
    <w:rsid w:val="009F57B1"/>
    <w:rsid w:val="009F63BA"/>
    <w:rsid w:val="009F706C"/>
    <w:rsid w:val="00A00802"/>
    <w:rsid w:val="00A01628"/>
    <w:rsid w:val="00A01D56"/>
    <w:rsid w:val="00A02986"/>
    <w:rsid w:val="00A040BE"/>
    <w:rsid w:val="00A0585C"/>
    <w:rsid w:val="00A06B81"/>
    <w:rsid w:val="00A1108A"/>
    <w:rsid w:val="00A11557"/>
    <w:rsid w:val="00A122EC"/>
    <w:rsid w:val="00A13BC4"/>
    <w:rsid w:val="00A14169"/>
    <w:rsid w:val="00A1454E"/>
    <w:rsid w:val="00A17308"/>
    <w:rsid w:val="00A176D0"/>
    <w:rsid w:val="00A20A06"/>
    <w:rsid w:val="00A21221"/>
    <w:rsid w:val="00A21AE3"/>
    <w:rsid w:val="00A24542"/>
    <w:rsid w:val="00A259FE"/>
    <w:rsid w:val="00A31013"/>
    <w:rsid w:val="00A3473E"/>
    <w:rsid w:val="00A357FF"/>
    <w:rsid w:val="00A364C1"/>
    <w:rsid w:val="00A368C8"/>
    <w:rsid w:val="00A3712C"/>
    <w:rsid w:val="00A37661"/>
    <w:rsid w:val="00A37A59"/>
    <w:rsid w:val="00A37DA1"/>
    <w:rsid w:val="00A40D01"/>
    <w:rsid w:val="00A4103F"/>
    <w:rsid w:val="00A41B33"/>
    <w:rsid w:val="00A42DAF"/>
    <w:rsid w:val="00A430A1"/>
    <w:rsid w:val="00A435B9"/>
    <w:rsid w:val="00A4365F"/>
    <w:rsid w:val="00A4399F"/>
    <w:rsid w:val="00A43F0E"/>
    <w:rsid w:val="00A443AE"/>
    <w:rsid w:val="00A45DC2"/>
    <w:rsid w:val="00A46C97"/>
    <w:rsid w:val="00A47C84"/>
    <w:rsid w:val="00A509FD"/>
    <w:rsid w:val="00A536F1"/>
    <w:rsid w:val="00A54390"/>
    <w:rsid w:val="00A55D5B"/>
    <w:rsid w:val="00A564E9"/>
    <w:rsid w:val="00A5670B"/>
    <w:rsid w:val="00A56DE0"/>
    <w:rsid w:val="00A573BC"/>
    <w:rsid w:val="00A5746C"/>
    <w:rsid w:val="00A57DB6"/>
    <w:rsid w:val="00A60CF3"/>
    <w:rsid w:val="00A60DC6"/>
    <w:rsid w:val="00A61870"/>
    <w:rsid w:val="00A61D41"/>
    <w:rsid w:val="00A629E1"/>
    <w:rsid w:val="00A63903"/>
    <w:rsid w:val="00A66D3A"/>
    <w:rsid w:val="00A67BAE"/>
    <w:rsid w:val="00A7050A"/>
    <w:rsid w:val="00A70B53"/>
    <w:rsid w:val="00A7121C"/>
    <w:rsid w:val="00A71D09"/>
    <w:rsid w:val="00A72850"/>
    <w:rsid w:val="00A728F1"/>
    <w:rsid w:val="00A734F0"/>
    <w:rsid w:val="00A7414C"/>
    <w:rsid w:val="00A7551C"/>
    <w:rsid w:val="00A75A30"/>
    <w:rsid w:val="00A772B8"/>
    <w:rsid w:val="00A77893"/>
    <w:rsid w:val="00A812F1"/>
    <w:rsid w:val="00A8191B"/>
    <w:rsid w:val="00A824A1"/>
    <w:rsid w:val="00A82617"/>
    <w:rsid w:val="00A82B28"/>
    <w:rsid w:val="00A83B8E"/>
    <w:rsid w:val="00A84680"/>
    <w:rsid w:val="00A84E7D"/>
    <w:rsid w:val="00A85CF7"/>
    <w:rsid w:val="00A8634B"/>
    <w:rsid w:val="00A869B9"/>
    <w:rsid w:val="00A86D8A"/>
    <w:rsid w:val="00A90D65"/>
    <w:rsid w:val="00A90D8E"/>
    <w:rsid w:val="00A91D74"/>
    <w:rsid w:val="00A92943"/>
    <w:rsid w:val="00A9380A"/>
    <w:rsid w:val="00A95057"/>
    <w:rsid w:val="00A95666"/>
    <w:rsid w:val="00A96AA1"/>
    <w:rsid w:val="00A9730A"/>
    <w:rsid w:val="00AA0103"/>
    <w:rsid w:val="00AA1358"/>
    <w:rsid w:val="00AA20DA"/>
    <w:rsid w:val="00AA3D0A"/>
    <w:rsid w:val="00AA42EE"/>
    <w:rsid w:val="00AA4638"/>
    <w:rsid w:val="00AA571F"/>
    <w:rsid w:val="00AA671A"/>
    <w:rsid w:val="00AA7F5C"/>
    <w:rsid w:val="00AB0625"/>
    <w:rsid w:val="00AB108A"/>
    <w:rsid w:val="00AB143E"/>
    <w:rsid w:val="00AB3226"/>
    <w:rsid w:val="00AB4206"/>
    <w:rsid w:val="00AB5585"/>
    <w:rsid w:val="00AB5E44"/>
    <w:rsid w:val="00AB7001"/>
    <w:rsid w:val="00AB7FB7"/>
    <w:rsid w:val="00AC2869"/>
    <w:rsid w:val="00AC44EF"/>
    <w:rsid w:val="00AC574C"/>
    <w:rsid w:val="00AC6844"/>
    <w:rsid w:val="00AC731C"/>
    <w:rsid w:val="00AC7D25"/>
    <w:rsid w:val="00AD05A1"/>
    <w:rsid w:val="00AD0B52"/>
    <w:rsid w:val="00AD0FA6"/>
    <w:rsid w:val="00AD34E1"/>
    <w:rsid w:val="00AD470C"/>
    <w:rsid w:val="00AD4919"/>
    <w:rsid w:val="00AD5CD1"/>
    <w:rsid w:val="00AD6B3E"/>
    <w:rsid w:val="00AD7457"/>
    <w:rsid w:val="00AD76D8"/>
    <w:rsid w:val="00AD77BD"/>
    <w:rsid w:val="00AE001E"/>
    <w:rsid w:val="00AE18E4"/>
    <w:rsid w:val="00AE251C"/>
    <w:rsid w:val="00AE31FA"/>
    <w:rsid w:val="00AE46EC"/>
    <w:rsid w:val="00AE4963"/>
    <w:rsid w:val="00AE5FE6"/>
    <w:rsid w:val="00AE7268"/>
    <w:rsid w:val="00AE74E6"/>
    <w:rsid w:val="00AF29E4"/>
    <w:rsid w:val="00AF2EB5"/>
    <w:rsid w:val="00AF38DF"/>
    <w:rsid w:val="00AF43A1"/>
    <w:rsid w:val="00AF4BD8"/>
    <w:rsid w:val="00AF66FB"/>
    <w:rsid w:val="00AF7414"/>
    <w:rsid w:val="00B00F06"/>
    <w:rsid w:val="00B01776"/>
    <w:rsid w:val="00B02587"/>
    <w:rsid w:val="00B02BB0"/>
    <w:rsid w:val="00B02BD8"/>
    <w:rsid w:val="00B031B6"/>
    <w:rsid w:val="00B079F1"/>
    <w:rsid w:val="00B07D05"/>
    <w:rsid w:val="00B1020C"/>
    <w:rsid w:val="00B10269"/>
    <w:rsid w:val="00B10980"/>
    <w:rsid w:val="00B11131"/>
    <w:rsid w:val="00B11134"/>
    <w:rsid w:val="00B11744"/>
    <w:rsid w:val="00B119F5"/>
    <w:rsid w:val="00B124E9"/>
    <w:rsid w:val="00B12A20"/>
    <w:rsid w:val="00B13F0F"/>
    <w:rsid w:val="00B15D77"/>
    <w:rsid w:val="00B16738"/>
    <w:rsid w:val="00B17386"/>
    <w:rsid w:val="00B17394"/>
    <w:rsid w:val="00B17CFD"/>
    <w:rsid w:val="00B2029C"/>
    <w:rsid w:val="00B2226F"/>
    <w:rsid w:val="00B23C6C"/>
    <w:rsid w:val="00B23FA7"/>
    <w:rsid w:val="00B258D1"/>
    <w:rsid w:val="00B25BBB"/>
    <w:rsid w:val="00B26092"/>
    <w:rsid w:val="00B26478"/>
    <w:rsid w:val="00B27336"/>
    <w:rsid w:val="00B30AF7"/>
    <w:rsid w:val="00B30C03"/>
    <w:rsid w:val="00B30E9C"/>
    <w:rsid w:val="00B314A4"/>
    <w:rsid w:val="00B33AD8"/>
    <w:rsid w:val="00B362AE"/>
    <w:rsid w:val="00B37393"/>
    <w:rsid w:val="00B40455"/>
    <w:rsid w:val="00B40E7F"/>
    <w:rsid w:val="00B415F4"/>
    <w:rsid w:val="00B41D60"/>
    <w:rsid w:val="00B43B50"/>
    <w:rsid w:val="00B44ECE"/>
    <w:rsid w:val="00B44FB0"/>
    <w:rsid w:val="00B455E6"/>
    <w:rsid w:val="00B45E64"/>
    <w:rsid w:val="00B46130"/>
    <w:rsid w:val="00B461B6"/>
    <w:rsid w:val="00B46535"/>
    <w:rsid w:val="00B46DFA"/>
    <w:rsid w:val="00B46FF9"/>
    <w:rsid w:val="00B51A94"/>
    <w:rsid w:val="00B51D2D"/>
    <w:rsid w:val="00B51D73"/>
    <w:rsid w:val="00B51D8E"/>
    <w:rsid w:val="00B53224"/>
    <w:rsid w:val="00B538B2"/>
    <w:rsid w:val="00B540E4"/>
    <w:rsid w:val="00B55D43"/>
    <w:rsid w:val="00B564ED"/>
    <w:rsid w:val="00B56AFE"/>
    <w:rsid w:val="00B571EC"/>
    <w:rsid w:val="00B57AAF"/>
    <w:rsid w:val="00B57AFC"/>
    <w:rsid w:val="00B57D9B"/>
    <w:rsid w:val="00B62014"/>
    <w:rsid w:val="00B6211E"/>
    <w:rsid w:val="00B62E8F"/>
    <w:rsid w:val="00B631C6"/>
    <w:rsid w:val="00B666CA"/>
    <w:rsid w:val="00B679BA"/>
    <w:rsid w:val="00B67AAC"/>
    <w:rsid w:val="00B704C1"/>
    <w:rsid w:val="00B704D0"/>
    <w:rsid w:val="00B70700"/>
    <w:rsid w:val="00B70D4D"/>
    <w:rsid w:val="00B722F2"/>
    <w:rsid w:val="00B75D0D"/>
    <w:rsid w:val="00B80100"/>
    <w:rsid w:val="00B80E2F"/>
    <w:rsid w:val="00B811F3"/>
    <w:rsid w:val="00B81489"/>
    <w:rsid w:val="00B8197B"/>
    <w:rsid w:val="00B825A8"/>
    <w:rsid w:val="00B82C4A"/>
    <w:rsid w:val="00B830F1"/>
    <w:rsid w:val="00B8355D"/>
    <w:rsid w:val="00B85EBC"/>
    <w:rsid w:val="00B86493"/>
    <w:rsid w:val="00B87BF3"/>
    <w:rsid w:val="00B901D9"/>
    <w:rsid w:val="00B90BBA"/>
    <w:rsid w:val="00B90F45"/>
    <w:rsid w:val="00B921F1"/>
    <w:rsid w:val="00B9225C"/>
    <w:rsid w:val="00B923B3"/>
    <w:rsid w:val="00B92603"/>
    <w:rsid w:val="00B937C9"/>
    <w:rsid w:val="00B94237"/>
    <w:rsid w:val="00B944A6"/>
    <w:rsid w:val="00B94DEE"/>
    <w:rsid w:val="00B96327"/>
    <w:rsid w:val="00BA0F94"/>
    <w:rsid w:val="00BA2C31"/>
    <w:rsid w:val="00BA2E59"/>
    <w:rsid w:val="00BA2EF4"/>
    <w:rsid w:val="00BA314E"/>
    <w:rsid w:val="00BA4FB5"/>
    <w:rsid w:val="00BA53D7"/>
    <w:rsid w:val="00BA5862"/>
    <w:rsid w:val="00BA6B06"/>
    <w:rsid w:val="00BA7595"/>
    <w:rsid w:val="00BA7DB9"/>
    <w:rsid w:val="00BB045B"/>
    <w:rsid w:val="00BB0D7A"/>
    <w:rsid w:val="00BB1AF6"/>
    <w:rsid w:val="00BB1D4B"/>
    <w:rsid w:val="00BB2519"/>
    <w:rsid w:val="00BB2B44"/>
    <w:rsid w:val="00BB52CA"/>
    <w:rsid w:val="00BB5C20"/>
    <w:rsid w:val="00BB5CBA"/>
    <w:rsid w:val="00BB6844"/>
    <w:rsid w:val="00BB7258"/>
    <w:rsid w:val="00BC0255"/>
    <w:rsid w:val="00BC0D25"/>
    <w:rsid w:val="00BC123D"/>
    <w:rsid w:val="00BC13EB"/>
    <w:rsid w:val="00BC27B7"/>
    <w:rsid w:val="00BC3BE2"/>
    <w:rsid w:val="00BC3FFA"/>
    <w:rsid w:val="00BC4123"/>
    <w:rsid w:val="00BC48F4"/>
    <w:rsid w:val="00BC4BFA"/>
    <w:rsid w:val="00BC50EB"/>
    <w:rsid w:val="00BC57FC"/>
    <w:rsid w:val="00BD0B91"/>
    <w:rsid w:val="00BD10E0"/>
    <w:rsid w:val="00BD1B2A"/>
    <w:rsid w:val="00BD1CF9"/>
    <w:rsid w:val="00BD3240"/>
    <w:rsid w:val="00BD345B"/>
    <w:rsid w:val="00BD5818"/>
    <w:rsid w:val="00BD5CD9"/>
    <w:rsid w:val="00BD65D7"/>
    <w:rsid w:val="00BD7043"/>
    <w:rsid w:val="00BD72C6"/>
    <w:rsid w:val="00BD7B96"/>
    <w:rsid w:val="00BE0B3F"/>
    <w:rsid w:val="00BE1BAC"/>
    <w:rsid w:val="00BE1D2B"/>
    <w:rsid w:val="00BE2A72"/>
    <w:rsid w:val="00BE2B44"/>
    <w:rsid w:val="00BE335F"/>
    <w:rsid w:val="00BE3AD2"/>
    <w:rsid w:val="00BE40B8"/>
    <w:rsid w:val="00BE7568"/>
    <w:rsid w:val="00BE77D3"/>
    <w:rsid w:val="00BE7A15"/>
    <w:rsid w:val="00BE7E70"/>
    <w:rsid w:val="00BF1244"/>
    <w:rsid w:val="00BF1985"/>
    <w:rsid w:val="00BF3276"/>
    <w:rsid w:val="00BF3B4D"/>
    <w:rsid w:val="00BF572D"/>
    <w:rsid w:val="00BF5AAA"/>
    <w:rsid w:val="00BF7327"/>
    <w:rsid w:val="00BF7849"/>
    <w:rsid w:val="00C006DE"/>
    <w:rsid w:val="00C01C53"/>
    <w:rsid w:val="00C0332C"/>
    <w:rsid w:val="00C05056"/>
    <w:rsid w:val="00C062C0"/>
    <w:rsid w:val="00C062D5"/>
    <w:rsid w:val="00C06957"/>
    <w:rsid w:val="00C102A0"/>
    <w:rsid w:val="00C10B14"/>
    <w:rsid w:val="00C116F5"/>
    <w:rsid w:val="00C11BEB"/>
    <w:rsid w:val="00C11CC3"/>
    <w:rsid w:val="00C11DA5"/>
    <w:rsid w:val="00C12669"/>
    <w:rsid w:val="00C12DEA"/>
    <w:rsid w:val="00C137BE"/>
    <w:rsid w:val="00C14E00"/>
    <w:rsid w:val="00C14F2D"/>
    <w:rsid w:val="00C15B04"/>
    <w:rsid w:val="00C16251"/>
    <w:rsid w:val="00C178E6"/>
    <w:rsid w:val="00C2069E"/>
    <w:rsid w:val="00C20791"/>
    <w:rsid w:val="00C21180"/>
    <w:rsid w:val="00C2138E"/>
    <w:rsid w:val="00C239BE"/>
    <w:rsid w:val="00C23CE6"/>
    <w:rsid w:val="00C24350"/>
    <w:rsid w:val="00C24425"/>
    <w:rsid w:val="00C24914"/>
    <w:rsid w:val="00C24988"/>
    <w:rsid w:val="00C25523"/>
    <w:rsid w:val="00C25AE5"/>
    <w:rsid w:val="00C31F86"/>
    <w:rsid w:val="00C330E1"/>
    <w:rsid w:val="00C34B71"/>
    <w:rsid w:val="00C35827"/>
    <w:rsid w:val="00C364CC"/>
    <w:rsid w:val="00C36DC4"/>
    <w:rsid w:val="00C4070D"/>
    <w:rsid w:val="00C4194E"/>
    <w:rsid w:val="00C41AF7"/>
    <w:rsid w:val="00C41CF2"/>
    <w:rsid w:val="00C433BE"/>
    <w:rsid w:val="00C443BE"/>
    <w:rsid w:val="00C453C8"/>
    <w:rsid w:val="00C45BC4"/>
    <w:rsid w:val="00C460C3"/>
    <w:rsid w:val="00C467CF"/>
    <w:rsid w:val="00C46914"/>
    <w:rsid w:val="00C46ACF"/>
    <w:rsid w:val="00C46B91"/>
    <w:rsid w:val="00C46C2F"/>
    <w:rsid w:val="00C47C2A"/>
    <w:rsid w:val="00C54367"/>
    <w:rsid w:val="00C5445A"/>
    <w:rsid w:val="00C56674"/>
    <w:rsid w:val="00C571B4"/>
    <w:rsid w:val="00C57620"/>
    <w:rsid w:val="00C6053F"/>
    <w:rsid w:val="00C61B01"/>
    <w:rsid w:val="00C62F1F"/>
    <w:rsid w:val="00C63256"/>
    <w:rsid w:val="00C6586E"/>
    <w:rsid w:val="00C65AA3"/>
    <w:rsid w:val="00C66515"/>
    <w:rsid w:val="00C6748C"/>
    <w:rsid w:val="00C6761E"/>
    <w:rsid w:val="00C67743"/>
    <w:rsid w:val="00C67B76"/>
    <w:rsid w:val="00C70964"/>
    <w:rsid w:val="00C719D2"/>
    <w:rsid w:val="00C71B95"/>
    <w:rsid w:val="00C725DC"/>
    <w:rsid w:val="00C73DF9"/>
    <w:rsid w:val="00C80916"/>
    <w:rsid w:val="00C80F56"/>
    <w:rsid w:val="00C81EA0"/>
    <w:rsid w:val="00C82697"/>
    <w:rsid w:val="00C84EB4"/>
    <w:rsid w:val="00C85440"/>
    <w:rsid w:val="00C854E9"/>
    <w:rsid w:val="00C85F3C"/>
    <w:rsid w:val="00C8669C"/>
    <w:rsid w:val="00C87C04"/>
    <w:rsid w:val="00C90D74"/>
    <w:rsid w:val="00C93002"/>
    <w:rsid w:val="00C95509"/>
    <w:rsid w:val="00C9595F"/>
    <w:rsid w:val="00C966D6"/>
    <w:rsid w:val="00C96B07"/>
    <w:rsid w:val="00C96D31"/>
    <w:rsid w:val="00CA125A"/>
    <w:rsid w:val="00CA1977"/>
    <w:rsid w:val="00CA1B50"/>
    <w:rsid w:val="00CA214F"/>
    <w:rsid w:val="00CA2787"/>
    <w:rsid w:val="00CA2ACE"/>
    <w:rsid w:val="00CA3E8E"/>
    <w:rsid w:val="00CA4905"/>
    <w:rsid w:val="00CA5462"/>
    <w:rsid w:val="00CA5F72"/>
    <w:rsid w:val="00CA6BA7"/>
    <w:rsid w:val="00CA6C03"/>
    <w:rsid w:val="00CA6E71"/>
    <w:rsid w:val="00CA728B"/>
    <w:rsid w:val="00CA7486"/>
    <w:rsid w:val="00CA74BB"/>
    <w:rsid w:val="00CA7C29"/>
    <w:rsid w:val="00CB0756"/>
    <w:rsid w:val="00CB1BE2"/>
    <w:rsid w:val="00CB2313"/>
    <w:rsid w:val="00CB3B1E"/>
    <w:rsid w:val="00CB3BC0"/>
    <w:rsid w:val="00CB3BEF"/>
    <w:rsid w:val="00CB500D"/>
    <w:rsid w:val="00CB66E2"/>
    <w:rsid w:val="00CC1BC5"/>
    <w:rsid w:val="00CC1EB3"/>
    <w:rsid w:val="00CC2859"/>
    <w:rsid w:val="00CC367A"/>
    <w:rsid w:val="00CC372C"/>
    <w:rsid w:val="00CC3A1B"/>
    <w:rsid w:val="00CC432E"/>
    <w:rsid w:val="00CC49ED"/>
    <w:rsid w:val="00CC5156"/>
    <w:rsid w:val="00CC6181"/>
    <w:rsid w:val="00CD12AE"/>
    <w:rsid w:val="00CD30AE"/>
    <w:rsid w:val="00CD4541"/>
    <w:rsid w:val="00CD59C9"/>
    <w:rsid w:val="00CD5C44"/>
    <w:rsid w:val="00CD5EDA"/>
    <w:rsid w:val="00CD686D"/>
    <w:rsid w:val="00CD6B90"/>
    <w:rsid w:val="00CD7513"/>
    <w:rsid w:val="00CD7B0B"/>
    <w:rsid w:val="00CE00A3"/>
    <w:rsid w:val="00CE1324"/>
    <w:rsid w:val="00CE1ADC"/>
    <w:rsid w:val="00CE2108"/>
    <w:rsid w:val="00CE3445"/>
    <w:rsid w:val="00CE39F0"/>
    <w:rsid w:val="00CE3A0E"/>
    <w:rsid w:val="00CE3B92"/>
    <w:rsid w:val="00CE4BC0"/>
    <w:rsid w:val="00CE6C3D"/>
    <w:rsid w:val="00CE7CE2"/>
    <w:rsid w:val="00CF1EAA"/>
    <w:rsid w:val="00CF3368"/>
    <w:rsid w:val="00CF430C"/>
    <w:rsid w:val="00CF447D"/>
    <w:rsid w:val="00CF737F"/>
    <w:rsid w:val="00CF7AC1"/>
    <w:rsid w:val="00D00079"/>
    <w:rsid w:val="00D00158"/>
    <w:rsid w:val="00D01E5E"/>
    <w:rsid w:val="00D065DA"/>
    <w:rsid w:val="00D105D7"/>
    <w:rsid w:val="00D11454"/>
    <w:rsid w:val="00D115A7"/>
    <w:rsid w:val="00D11655"/>
    <w:rsid w:val="00D11865"/>
    <w:rsid w:val="00D13832"/>
    <w:rsid w:val="00D1448F"/>
    <w:rsid w:val="00D1536F"/>
    <w:rsid w:val="00D15F70"/>
    <w:rsid w:val="00D161F3"/>
    <w:rsid w:val="00D16495"/>
    <w:rsid w:val="00D17952"/>
    <w:rsid w:val="00D17CA3"/>
    <w:rsid w:val="00D17D25"/>
    <w:rsid w:val="00D2025F"/>
    <w:rsid w:val="00D21AF4"/>
    <w:rsid w:val="00D22C54"/>
    <w:rsid w:val="00D230D1"/>
    <w:rsid w:val="00D24AED"/>
    <w:rsid w:val="00D24EBC"/>
    <w:rsid w:val="00D267DC"/>
    <w:rsid w:val="00D26C9D"/>
    <w:rsid w:val="00D31937"/>
    <w:rsid w:val="00D31F03"/>
    <w:rsid w:val="00D3256B"/>
    <w:rsid w:val="00D3397A"/>
    <w:rsid w:val="00D34208"/>
    <w:rsid w:val="00D34950"/>
    <w:rsid w:val="00D34B78"/>
    <w:rsid w:val="00D35A0F"/>
    <w:rsid w:val="00D3609D"/>
    <w:rsid w:val="00D36D1E"/>
    <w:rsid w:val="00D370AB"/>
    <w:rsid w:val="00D40738"/>
    <w:rsid w:val="00D41A43"/>
    <w:rsid w:val="00D41DE2"/>
    <w:rsid w:val="00D427BD"/>
    <w:rsid w:val="00D44AC1"/>
    <w:rsid w:val="00D44B40"/>
    <w:rsid w:val="00D45461"/>
    <w:rsid w:val="00D454D4"/>
    <w:rsid w:val="00D45BB0"/>
    <w:rsid w:val="00D4606F"/>
    <w:rsid w:val="00D466AB"/>
    <w:rsid w:val="00D479C7"/>
    <w:rsid w:val="00D50AD5"/>
    <w:rsid w:val="00D51138"/>
    <w:rsid w:val="00D513CC"/>
    <w:rsid w:val="00D524DE"/>
    <w:rsid w:val="00D5297A"/>
    <w:rsid w:val="00D53C95"/>
    <w:rsid w:val="00D5584A"/>
    <w:rsid w:val="00D55D89"/>
    <w:rsid w:val="00D61346"/>
    <w:rsid w:val="00D629BF"/>
    <w:rsid w:val="00D62E95"/>
    <w:rsid w:val="00D62FF3"/>
    <w:rsid w:val="00D63256"/>
    <w:rsid w:val="00D640B7"/>
    <w:rsid w:val="00D64286"/>
    <w:rsid w:val="00D64D48"/>
    <w:rsid w:val="00D65512"/>
    <w:rsid w:val="00D66871"/>
    <w:rsid w:val="00D6691A"/>
    <w:rsid w:val="00D67244"/>
    <w:rsid w:val="00D676E4"/>
    <w:rsid w:val="00D70101"/>
    <w:rsid w:val="00D71285"/>
    <w:rsid w:val="00D7169E"/>
    <w:rsid w:val="00D71885"/>
    <w:rsid w:val="00D718CE"/>
    <w:rsid w:val="00D723C8"/>
    <w:rsid w:val="00D7264C"/>
    <w:rsid w:val="00D72804"/>
    <w:rsid w:val="00D7488C"/>
    <w:rsid w:val="00D758E5"/>
    <w:rsid w:val="00D76666"/>
    <w:rsid w:val="00D76CC4"/>
    <w:rsid w:val="00D76EFA"/>
    <w:rsid w:val="00D77E22"/>
    <w:rsid w:val="00D809D4"/>
    <w:rsid w:val="00D80B3E"/>
    <w:rsid w:val="00D811F1"/>
    <w:rsid w:val="00D81A27"/>
    <w:rsid w:val="00D81A88"/>
    <w:rsid w:val="00D853A3"/>
    <w:rsid w:val="00D857A5"/>
    <w:rsid w:val="00D8602E"/>
    <w:rsid w:val="00D8701F"/>
    <w:rsid w:val="00D87D01"/>
    <w:rsid w:val="00D909C3"/>
    <w:rsid w:val="00D90A84"/>
    <w:rsid w:val="00D926B0"/>
    <w:rsid w:val="00D92DD6"/>
    <w:rsid w:val="00D9309B"/>
    <w:rsid w:val="00D93905"/>
    <w:rsid w:val="00D94939"/>
    <w:rsid w:val="00D95346"/>
    <w:rsid w:val="00D95584"/>
    <w:rsid w:val="00D96240"/>
    <w:rsid w:val="00D96758"/>
    <w:rsid w:val="00D96CCF"/>
    <w:rsid w:val="00D97DA8"/>
    <w:rsid w:val="00DA0AB0"/>
    <w:rsid w:val="00DA1114"/>
    <w:rsid w:val="00DA1EB6"/>
    <w:rsid w:val="00DA20C8"/>
    <w:rsid w:val="00DA2884"/>
    <w:rsid w:val="00DA2A5E"/>
    <w:rsid w:val="00DA2DD6"/>
    <w:rsid w:val="00DA3295"/>
    <w:rsid w:val="00DA3B40"/>
    <w:rsid w:val="00DA413F"/>
    <w:rsid w:val="00DA41F5"/>
    <w:rsid w:val="00DA4EF9"/>
    <w:rsid w:val="00DA538E"/>
    <w:rsid w:val="00DA7DF0"/>
    <w:rsid w:val="00DB0D2D"/>
    <w:rsid w:val="00DB0FB2"/>
    <w:rsid w:val="00DB198C"/>
    <w:rsid w:val="00DB23CD"/>
    <w:rsid w:val="00DB2843"/>
    <w:rsid w:val="00DB2F1B"/>
    <w:rsid w:val="00DB2FDF"/>
    <w:rsid w:val="00DB3E52"/>
    <w:rsid w:val="00DB51F9"/>
    <w:rsid w:val="00DB5219"/>
    <w:rsid w:val="00DB5481"/>
    <w:rsid w:val="00DB57AB"/>
    <w:rsid w:val="00DB76FE"/>
    <w:rsid w:val="00DC0586"/>
    <w:rsid w:val="00DC08D2"/>
    <w:rsid w:val="00DC095E"/>
    <w:rsid w:val="00DC0CCC"/>
    <w:rsid w:val="00DC31E6"/>
    <w:rsid w:val="00DC4933"/>
    <w:rsid w:val="00DC60EA"/>
    <w:rsid w:val="00DD111B"/>
    <w:rsid w:val="00DD2B14"/>
    <w:rsid w:val="00DD3281"/>
    <w:rsid w:val="00DD3B47"/>
    <w:rsid w:val="00DD4B65"/>
    <w:rsid w:val="00DD61B1"/>
    <w:rsid w:val="00DD6A0B"/>
    <w:rsid w:val="00DD7D8D"/>
    <w:rsid w:val="00DD7DF5"/>
    <w:rsid w:val="00DE19FA"/>
    <w:rsid w:val="00DE23DD"/>
    <w:rsid w:val="00DE3562"/>
    <w:rsid w:val="00DE4251"/>
    <w:rsid w:val="00DE5224"/>
    <w:rsid w:val="00DE563B"/>
    <w:rsid w:val="00DE5761"/>
    <w:rsid w:val="00DE5C0A"/>
    <w:rsid w:val="00DE748E"/>
    <w:rsid w:val="00DF0864"/>
    <w:rsid w:val="00DF0D75"/>
    <w:rsid w:val="00DF2091"/>
    <w:rsid w:val="00DF284F"/>
    <w:rsid w:val="00DF3D09"/>
    <w:rsid w:val="00DF4092"/>
    <w:rsid w:val="00DF5B04"/>
    <w:rsid w:val="00DF6AAF"/>
    <w:rsid w:val="00E0193E"/>
    <w:rsid w:val="00E01F15"/>
    <w:rsid w:val="00E021E7"/>
    <w:rsid w:val="00E02836"/>
    <w:rsid w:val="00E03B24"/>
    <w:rsid w:val="00E03C6B"/>
    <w:rsid w:val="00E05386"/>
    <w:rsid w:val="00E05C55"/>
    <w:rsid w:val="00E06088"/>
    <w:rsid w:val="00E06A9C"/>
    <w:rsid w:val="00E07CDC"/>
    <w:rsid w:val="00E11A7F"/>
    <w:rsid w:val="00E135CD"/>
    <w:rsid w:val="00E13C7D"/>
    <w:rsid w:val="00E14891"/>
    <w:rsid w:val="00E149C1"/>
    <w:rsid w:val="00E16B9D"/>
    <w:rsid w:val="00E17729"/>
    <w:rsid w:val="00E20044"/>
    <w:rsid w:val="00E20130"/>
    <w:rsid w:val="00E213CF"/>
    <w:rsid w:val="00E22190"/>
    <w:rsid w:val="00E246E7"/>
    <w:rsid w:val="00E24BAD"/>
    <w:rsid w:val="00E2526F"/>
    <w:rsid w:val="00E25AAC"/>
    <w:rsid w:val="00E25B33"/>
    <w:rsid w:val="00E26AB2"/>
    <w:rsid w:val="00E27094"/>
    <w:rsid w:val="00E27C79"/>
    <w:rsid w:val="00E30C22"/>
    <w:rsid w:val="00E31AF4"/>
    <w:rsid w:val="00E3341A"/>
    <w:rsid w:val="00E35BA8"/>
    <w:rsid w:val="00E36981"/>
    <w:rsid w:val="00E36A68"/>
    <w:rsid w:val="00E37193"/>
    <w:rsid w:val="00E40475"/>
    <w:rsid w:val="00E40AF1"/>
    <w:rsid w:val="00E42677"/>
    <w:rsid w:val="00E42EC3"/>
    <w:rsid w:val="00E43AE7"/>
    <w:rsid w:val="00E443D8"/>
    <w:rsid w:val="00E4624E"/>
    <w:rsid w:val="00E46F2F"/>
    <w:rsid w:val="00E50CCD"/>
    <w:rsid w:val="00E5394E"/>
    <w:rsid w:val="00E54945"/>
    <w:rsid w:val="00E55EB5"/>
    <w:rsid w:val="00E56747"/>
    <w:rsid w:val="00E56C3A"/>
    <w:rsid w:val="00E56E07"/>
    <w:rsid w:val="00E57188"/>
    <w:rsid w:val="00E57A6B"/>
    <w:rsid w:val="00E60B27"/>
    <w:rsid w:val="00E60EBF"/>
    <w:rsid w:val="00E618C8"/>
    <w:rsid w:val="00E6198D"/>
    <w:rsid w:val="00E633F0"/>
    <w:rsid w:val="00E63CCE"/>
    <w:rsid w:val="00E66B66"/>
    <w:rsid w:val="00E6708E"/>
    <w:rsid w:val="00E670C0"/>
    <w:rsid w:val="00E6788D"/>
    <w:rsid w:val="00E70567"/>
    <w:rsid w:val="00E72BC1"/>
    <w:rsid w:val="00E73430"/>
    <w:rsid w:val="00E73EE5"/>
    <w:rsid w:val="00E745FE"/>
    <w:rsid w:val="00E74CE8"/>
    <w:rsid w:val="00E769A8"/>
    <w:rsid w:val="00E77AC5"/>
    <w:rsid w:val="00E819B4"/>
    <w:rsid w:val="00E82AE6"/>
    <w:rsid w:val="00E84809"/>
    <w:rsid w:val="00E855EA"/>
    <w:rsid w:val="00E85F98"/>
    <w:rsid w:val="00E8693E"/>
    <w:rsid w:val="00E87A74"/>
    <w:rsid w:val="00E87B16"/>
    <w:rsid w:val="00E87FD9"/>
    <w:rsid w:val="00E90C62"/>
    <w:rsid w:val="00E923D9"/>
    <w:rsid w:val="00E932DA"/>
    <w:rsid w:val="00E935E8"/>
    <w:rsid w:val="00E95773"/>
    <w:rsid w:val="00E959F1"/>
    <w:rsid w:val="00E96384"/>
    <w:rsid w:val="00E9682D"/>
    <w:rsid w:val="00E979B6"/>
    <w:rsid w:val="00EA0555"/>
    <w:rsid w:val="00EA0DF1"/>
    <w:rsid w:val="00EA0E73"/>
    <w:rsid w:val="00EA26FF"/>
    <w:rsid w:val="00EA2982"/>
    <w:rsid w:val="00EA3515"/>
    <w:rsid w:val="00EA36ED"/>
    <w:rsid w:val="00EA5B86"/>
    <w:rsid w:val="00EA5D1B"/>
    <w:rsid w:val="00EA6370"/>
    <w:rsid w:val="00EA6F35"/>
    <w:rsid w:val="00EB0D49"/>
    <w:rsid w:val="00EB1287"/>
    <w:rsid w:val="00EB1C38"/>
    <w:rsid w:val="00EB1C92"/>
    <w:rsid w:val="00EB285B"/>
    <w:rsid w:val="00EB2CDF"/>
    <w:rsid w:val="00EB31E2"/>
    <w:rsid w:val="00EB3549"/>
    <w:rsid w:val="00EB462D"/>
    <w:rsid w:val="00EB5B71"/>
    <w:rsid w:val="00EB6712"/>
    <w:rsid w:val="00EB6F50"/>
    <w:rsid w:val="00EB75F9"/>
    <w:rsid w:val="00EB7700"/>
    <w:rsid w:val="00EC1B4C"/>
    <w:rsid w:val="00EC1F54"/>
    <w:rsid w:val="00EC3469"/>
    <w:rsid w:val="00EC5EAB"/>
    <w:rsid w:val="00ED0EE7"/>
    <w:rsid w:val="00ED1D6A"/>
    <w:rsid w:val="00ED247A"/>
    <w:rsid w:val="00ED54CB"/>
    <w:rsid w:val="00EE0F7D"/>
    <w:rsid w:val="00EE1B10"/>
    <w:rsid w:val="00EE1C3B"/>
    <w:rsid w:val="00EE26D4"/>
    <w:rsid w:val="00EE2CE7"/>
    <w:rsid w:val="00EE30A0"/>
    <w:rsid w:val="00EE437B"/>
    <w:rsid w:val="00EE5360"/>
    <w:rsid w:val="00EE5726"/>
    <w:rsid w:val="00EE5F81"/>
    <w:rsid w:val="00EE61AA"/>
    <w:rsid w:val="00EE7315"/>
    <w:rsid w:val="00EE75FC"/>
    <w:rsid w:val="00EF22B2"/>
    <w:rsid w:val="00EF250E"/>
    <w:rsid w:val="00EF3B08"/>
    <w:rsid w:val="00EF4028"/>
    <w:rsid w:val="00EF464C"/>
    <w:rsid w:val="00EF4B62"/>
    <w:rsid w:val="00EF4D66"/>
    <w:rsid w:val="00EF6385"/>
    <w:rsid w:val="00EF7967"/>
    <w:rsid w:val="00EF7C45"/>
    <w:rsid w:val="00F00179"/>
    <w:rsid w:val="00F0018D"/>
    <w:rsid w:val="00F00997"/>
    <w:rsid w:val="00F00D10"/>
    <w:rsid w:val="00F01002"/>
    <w:rsid w:val="00F0175C"/>
    <w:rsid w:val="00F02251"/>
    <w:rsid w:val="00F0279B"/>
    <w:rsid w:val="00F0301A"/>
    <w:rsid w:val="00F0390B"/>
    <w:rsid w:val="00F0447E"/>
    <w:rsid w:val="00F058EF"/>
    <w:rsid w:val="00F06BA2"/>
    <w:rsid w:val="00F06C57"/>
    <w:rsid w:val="00F071B9"/>
    <w:rsid w:val="00F075CB"/>
    <w:rsid w:val="00F07692"/>
    <w:rsid w:val="00F110DF"/>
    <w:rsid w:val="00F119D2"/>
    <w:rsid w:val="00F1264E"/>
    <w:rsid w:val="00F12757"/>
    <w:rsid w:val="00F12913"/>
    <w:rsid w:val="00F12E66"/>
    <w:rsid w:val="00F14625"/>
    <w:rsid w:val="00F156B2"/>
    <w:rsid w:val="00F15797"/>
    <w:rsid w:val="00F16497"/>
    <w:rsid w:val="00F16689"/>
    <w:rsid w:val="00F179A3"/>
    <w:rsid w:val="00F17B20"/>
    <w:rsid w:val="00F21242"/>
    <w:rsid w:val="00F21440"/>
    <w:rsid w:val="00F21F09"/>
    <w:rsid w:val="00F22765"/>
    <w:rsid w:val="00F22EFB"/>
    <w:rsid w:val="00F23053"/>
    <w:rsid w:val="00F237D0"/>
    <w:rsid w:val="00F23917"/>
    <w:rsid w:val="00F24A83"/>
    <w:rsid w:val="00F24D8E"/>
    <w:rsid w:val="00F24EB3"/>
    <w:rsid w:val="00F25773"/>
    <w:rsid w:val="00F25D29"/>
    <w:rsid w:val="00F262B5"/>
    <w:rsid w:val="00F26688"/>
    <w:rsid w:val="00F279A7"/>
    <w:rsid w:val="00F33027"/>
    <w:rsid w:val="00F341F6"/>
    <w:rsid w:val="00F35088"/>
    <w:rsid w:val="00F35AFE"/>
    <w:rsid w:val="00F35E24"/>
    <w:rsid w:val="00F36640"/>
    <w:rsid w:val="00F377A6"/>
    <w:rsid w:val="00F37DCB"/>
    <w:rsid w:val="00F4020D"/>
    <w:rsid w:val="00F404F2"/>
    <w:rsid w:val="00F418C6"/>
    <w:rsid w:val="00F422E7"/>
    <w:rsid w:val="00F43711"/>
    <w:rsid w:val="00F44843"/>
    <w:rsid w:val="00F44B12"/>
    <w:rsid w:val="00F45500"/>
    <w:rsid w:val="00F45A89"/>
    <w:rsid w:val="00F45C23"/>
    <w:rsid w:val="00F46732"/>
    <w:rsid w:val="00F47A34"/>
    <w:rsid w:val="00F500F3"/>
    <w:rsid w:val="00F51490"/>
    <w:rsid w:val="00F53172"/>
    <w:rsid w:val="00F531B9"/>
    <w:rsid w:val="00F53686"/>
    <w:rsid w:val="00F53AA7"/>
    <w:rsid w:val="00F5498B"/>
    <w:rsid w:val="00F56510"/>
    <w:rsid w:val="00F56D8E"/>
    <w:rsid w:val="00F56F04"/>
    <w:rsid w:val="00F603E8"/>
    <w:rsid w:val="00F60ED9"/>
    <w:rsid w:val="00F64445"/>
    <w:rsid w:val="00F64B24"/>
    <w:rsid w:val="00F65736"/>
    <w:rsid w:val="00F6580D"/>
    <w:rsid w:val="00F65A12"/>
    <w:rsid w:val="00F6784E"/>
    <w:rsid w:val="00F67A8D"/>
    <w:rsid w:val="00F70AD7"/>
    <w:rsid w:val="00F72233"/>
    <w:rsid w:val="00F72E61"/>
    <w:rsid w:val="00F72F55"/>
    <w:rsid w:val="00F76E74"/>
    <w:rsid w:val="00F76F88"/>
    <w:rsid w:val="00F7702A"/>
    <w:rsid w:val="00F777C5"/>
    <w:rsid w:val="00F77EA9"/>
    <w:rsid w:val="00F80784"/>
    <w:rsid w:val="00F827C7"/>
    <w:rsid w:val="00F828DE"/>
    <w:rsid w:val="00F836C2"/>
    <w:rsid w:val="00F83E18"/>
    <w:rsid w:val="00F84DB3"/>
    <w:rsid w:val="00F850FA"/>
    <w:rsid w:val="00F85620"/>
    <w:rsid w:val="00F86B0B"/>
    <w:rsid w:val="00F91085"/>
    <w:rsid w:val="00F911B9"/>
    <w:rsid w:val="00F91531"/>
    <w:rsid w:val="00F91AAA"/>
    <w:rsid w:val="00F92390"/>
    <w:rsid w:val="00F92DB5"/>
    <w:rsid w:val="00F940C9"/>
    <w:rsid w:val="00F946C9"/>
    <w:rsid w:val="00F963EE"/>
    <w:rsid w:val="00F967FB"/>
    <w:rsid w:val="00F96EC9"/>
    <w:rsid w:val="00F96FEC"/>
    <w:rsid w:val="00F974C2"/>
    <w:rsid w:val="00F97A3F"/>
    <w:rsid w:val="00FA0A8C"/>
    <w:rsid w:val="00FA1C89"/>
    <w:rsid w:val="00FA2376"/>
    <w:rsid w:val="00FA23B8"/>
    <w:rsid w:val="00FA2FF0"/>
    <w:rsid w:val="00FA533E"/>
    <w:rsid w:val="00FA5C94"/>
    <w:rsid w:val="00FA5E89"/>
    <w:rsid w:val="00FA60A1"/>
    <w:rsid w:val="00FA6A24"/>
    <w:rsid w:val="00FA6A81"/>
    <w:rsid w:val="00FA70EA"/>
    <w:rsid w:val="00FB1AE4"/>
    <w:rsid w:val="00FB2E37"/>
    <w:rsid w:val="00FB4629"/>
    <w:rsid w:val="00FB6AB2"/>
    <w:rsid w:val="00FB6B81"/>
    <w:rsid w:val="00FB6C7F"/>
    <w:rsid w:val="00FB73C2"/>
    <w:rsid w:val="00FB78AC"/>
    <w:rsid w:val="00FC00F1"/>
    <w:rsid w:val="00FC0549"/>
    <w:rsid w:val="00FC07E7"/>
    <w:rsid w:val="00FC0AD1"/>
    <w:rsid w:val="00FC0E6A"/>
    <w:rsid w:val="00FC11A9"/>
    <w:rsid w:val="00FC1371"/>
    <w:rsid w:val="00FC17C4"/>
    <w:rsid w:val="00FC1AC1"/>
    <w:rsid w:val="00FC1F6A"/>
    <w:rsid w:val="00FC2C32"/>
    <w:rsid w:val="00FC4519"/>
    <w:rsid w:val="00FC475E"/>
    <w:rsid w:val="00FC5510"/>
    <w:rsid w:val="00FD0DE8"/>
    <w:rsid w:val="00FD3815"/>
    <w:rsid w:val="00FD498C"/>
    <w:rsid w:val="00FD5673"/>
    <w:rsid w:val="00FD5736"/>
    <w:rsid w:val="00FD5AF9"/>
    <w:rsid w:val="00FD63D3"/>
    <w:rsid w:val="00FD68F1"/>
    <w:rsid w:val="00FD6EA5"/>
    <w:rsid w:val="00FE0EB1"/>
    <w:rsid w:val="00FE0FC4"/>
    <w:rsid w:val="00FE3812"/>
    <w:rsid w:val="00FE43D7"/>
    <w:rsid w:val="00FE590A"/>
    <w:rsid w:val="00FE61CB"/>
    <w:rsid w:val="00FE62B1"/>
    <w:rsid w:val="00FE665C"/>
    <w:rsid w:val="00FE744C"/>
    <w:rsid w:val="00FE7454"/>
    <w:rsid w:val="00FF0144"/>
    <w:rsid w:val="00FF118A"/>
    <w:rsid w:val="00FF1290"/>
    <w:rsid w:val="00FF396B"/>
    <w:rsid w:val="00FF3BCD"/>
    <w:rsid w:val="00FF3F18"/>
    <w:rsid w:val="00FF4309"/>
    <w:rsid w:val="00FF5880"/>
    <w:rsid w:val="00FF6D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3A4"/>
  </w:style>
  <w:style w:type="paragraph" w:styleId="Heading1">
    <w:name w:val="heading 1"/>
    <w:basedOn w:val="Normal"/>
    <w:link w:val="Heading1Char"/>
    <w:uiPriority w:val="9"/>
    <w:qFormat/>
    <w:rsid w:val="003950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next w:val="Normal"/>
    <w:link w:val="Heading3Char"/>
    <w:uiPriority w:val="9"/>
    <w:semiHidden/>
    <w:unhideWhenUsed/>
    <w:qFormat/>
    <w:rsid w:val="00D44B40"/>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D10E0"/>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087"/>
    <w:rPr>
      <w:rFonts w:ascii="Times New Roman" w:eastAsia="Times New Roman" w:hAnsi="Times New Roman" w:cs="Times New Roman"/>
      <w:b/>
      <w:bCs/>
      <w:kern w:val="36"/>
      <w:sz w:val="48"/>
      <w:szCs w:val="48"/>
      <w:lang w:eastAsia="en-AU"/>
    </w:rPr>
  </w:style>
  <w:style w:type="paragraph" w:styleId="NoSpacing">
    <w:name w:val="No Spacing"/>
    <w:uiPriority w:val="1"/>
    <w:qFormat/>
    <w:rsid w:val="00395087"/>
    <w:pPr>
      <w:spacing w:after="0" w:line="240" w:lineRule="auto"/>
    </w:pPr>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395087"/>
    <w:rPr>
      <w:rFonts w:cs="Times New Roman"/>
      <w:color w:val="0000FF"/>
      <w:u w:val="single"/>
    </w:rPr>
  </w:style>
  <w:style w:type="paragraph" w:styleId="NormalWeb">
    <w:name w:val="Normal (Web)"/>
    <w:basedOn w:val="Normal"/>
    <w:uiPriority w:val="99"/>
    <w:unhideWhenUsed/>
    <w:rsid w:val="0039508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395087"/>
    <w:pPr>
      <w:spacing w:after="0" w:line="240" w:lineRule="auto"/>
      <w:ind w:left="720"/>
      <w:contextualSpacing/>
    </w:pPr>
    <w:rPr>
      <w:rFonts w:ascii="Calibri" w:eastAsia="Times New Roman" w:hAnsi="Calibri" w:cs="Times New Roman"/>
      <w:color w:val="262626"/>
      <w:lang w:val="en-US"/>
    </w:rPr>
  </w:style>
  <w:style w:type="character" w:styleId="Strong">
    <w:name w:val="Strong"/>
    <w:basedOn w:val="DefaultParagraphFont"/>
    <w:uiPriority w:val="22"/>
    <w:qFormat/>
    <w:rsid w:val="00031CE0"/>
    <w:rPr>
      <w:b/>
      <w:bCs/>
    </w:rPr>
  </w:style>
  <w:style w:type="character" w:styleId="Emphasis">
    <w:name w:val="Emphasis"/>
    <w:basedOn w:val="DefaultParagraphFont"/>
    <w:uiPriority w:val="20"/>
    <w:qFormat/>
    <w:rsid w:val="00031CE0"/>
    <w:rPr>
      <w:i/>
      <w:iCs/>
    </w:rPr>
  </w:style>
  <w:style w:type="paragraph" w:styleId="BalloonText">
    <w:name w:val="Balloon Text"/>
    <w:basedOn w:val="Normal"/>
    <w:link w:val="BalloonTextChar"/>
    <w:uiPriority w:val="99"/>
    <w:semiHidden/>
    <w:unhideWhenUsed/>
    <w:rsid w:val="00D44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B40"/>
    <w:rPr>
      <w:rFonts w:ascii="Tahoma" w:hAnsi="Tahoma" w:cs="Tahoma"/>
      <w:sz w:val="16"/>
      <w:szCs w:val="16"/>
    </w:rPr>
  </w:style>
  <w:style w:type="character" w:customStyle="1" w:styleId="Heading3Char">
    <w:name w:val="Heading 3 Char"/>
    <w:basedOn w:val="DefaultParagraphFont"/>
    <w:link w:val="Heading3"/>
    <w:uiPriority w:val="9"/>
    <w:semiHidden/>
    <w:rsid w:val="00D44B40"/>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D44B40"/>
  </w:style>
  <w:style w:type="character" w:customStyle="1" w:styleId="Heading5Char">
    <w:name w:val="Heading 5 Char"/>
    <w:basedOn w:val="DefaultParagraphFont"/>
    <w:link w:val="Heading5"/>
    <w:uiPriority w:val="9"/>
    <w:semiHidden/>
    <w:rsid w:val="00BD10E0"/>
    <w:rPr>
      <w:rFonts w:asciiTheme="majorHAnsi" w:eastAsiaTheme="majorEastAsia" w:hAnsiTheme="majorHAnsi" w:cstheme="majorBidi"/>
      <w:color w:val="243F60" w:themeColor="accent1" w:themeShade="7F"/>
      <w:sz w:val="24"/>
      <w:szCs w:val="24"/>
      <w:lang w:eastAsia="en-AU"/>
    </w:rPr>
  </w:style>
  <w:style w:type="character" w:styleId="FollowedHyperlink">
    <w:name w:val="FollowedHyperlink"/>
    <w:basedOn w:val="DefaultParagraphFont"/>
    <w:uiPriority w:val="99"/>
    <w:semiHidden/>
    <w:unhideWhenUsed/>
    <w:rsid w:val="00D3193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4373936">
      <w:bodyDiv w:val="1"/>
      <w:marLeft w:val="0"/>
      <w:marRight w:val="0"/>
      <w:marTop w:val="0"/>
      <w:marBottom w:val="0"/>
      <w:divBdr>
        <w:top w:val="none" w:sz="0" w:space="0" w:color="auto"/>
        <w:left w:val="none" w:sz="0" w:space="0" w:color="auto"/>
        <w:bottom w:val="none" w:sz="0" w:space="0" w:color="auto"/>
        <w:right w:val="none" w:sz="0" w:space="0" w:color="auto"/>
      </w:divBdr>
      <w:divsChild>
        <w:div w:id="969894009">
          <w:marLeft w:val="0"/>
          <w:marRight w:val="0"/>
          <w:marTop w:val="0"/>
          <w:marBottom w:val="0"/>
          <w:divBdr>
            <w:top w:val="none" w:sz="0" w:space="0" w:color="auto"/>
            <w:left w:val="none" w:sz="0" w:space="0" w:color="auto"/>
            <w:bottom w:val="none" w:sz="0" w:space="0" w:color="auto"/>
            <w:right w:val="none" w:sz="0" w:space="0" w:color="auto"/>
          </w:divBdr>
        </w:div>
      </w:divsChild>
    </w:div>
    <w:div w:id="296494114">
      <w:bodyDiv w:val="1"/>
      <w:marLeft w:val="0"/>
      <w:marRight w:val="0"/>
      <w:marTop w:val="0"/>
      <w:marBottom w:val="0"/>
      <w:divBdr>
        <w:top w:val="none" w:sz="0" w:space="0" w:color="auto"/>
        <w:left w:val="none" w:sz="0" w:space="0" w:color="auto"/>
        <w:bottom w:val="none" w:sz="0" w:space="0" w:color="auto"/>
        <w:right w:val="none" w:sz="0" w:space="0" w:color="auto"/>
      </w:divBdr>
      <w:divsChild>
        <w:div w:id="1454013209">
          <w:marLeft w:val="0"/>
          <w:marRight w:val="0"/>
          <w:marTop w:val="0"/>
          <w:marBottom w:val="0"/>
          <w:divBdr>
            <w:top w:val="none" w:sz="0" w:space="0" w:color="auto"/>
            <w:left w:val="none" w:sz="0" w:space="0" w:color="auto"/>
            <w:bottom w:val="none" w:sz="0" w:space="0" w:color="auto"/>
            <w:right w:val="none" w:sz="0" w:space="0" w:color="auto"/>
          </w:divBdr>
        </w:div>
      </w:divsChild>
    </w:div>
    <w:div w:id="549148383">
      <w:bodyDiv w:val="1"/>
      <w:marLeft w:val="0"/>
      <w:marRight w:val="0"/>
      <w:marTop w:val="0"/>
      <w:marBottom w:val="0"/>
      <w:divBdr>
        <w:top w:val="none" w:sz="0" w:space="0" w:color="auto"/>
        <w:left w:val="none" w:sz="0" w:space="0" w:color="auto"/>
        <w:bottom w:val="none" w:sz="0" w:space="0" w:color="auto"/>
        <w:right w:val="none" w:sz="0" w:space="0" w:color="auto"/>
      </w:divBdr>
    </w:div>
    <w:div w:id="662051763">
      <w:bodyDiv w:val="1"/>
      <w:marLeft w:val="0"/>
      <w:marRight w:val="0"/>
      <w:marTop w:val="0"/>
      <w:marBottom w:val="0"/>
      <w:divBdr>
        <w:top w:val="none" w:sz="0" w:space="0" w:color="auto"/>
        <w:left w:val="none" w:sz="0" w:space="0" w:color="auto"/>
        <w:bottom w:val="none" w:sz="0" w:space="0" w:color="auto"/>
        <w:right w:val="none" w:sz="0" w:space="0" w:color="auto"/>
      </w:divBdr>
    </w:div>
    <w:div w:id="752747846">
      <w:bodyDiv w:val="1"/>
      <w:marLeft w:val="0"/>
      <w:marRight w:val="0"/>
      <w:marTop w:val="0"/>
      <w:marBottom w:val="0"/>
      <w:divBdr>
        <w:top w:val="none" w:sz="0" w:space="0" w:color="auto"/>
        <w:left w:val="none" w:sz="0" w:space="0" w:color="auto"/>
        <w:bottom w:val="none" w:sz="0" w:space="0" w:color="auto"/>
        <w:right w:val="none" w:sz="0" w:space="0" w:color="auto"/>
      </w:divBdr>
    </w:div>
    <w:div w:id="819731475">
      <w:bodyDiv w:val="1"/>
      <w:marLeft w:val="0"/>
      <w:marRight w:val="0"/>
      <w:marTop w:val="0"/>
      <w:marBottom w:val="0"/>
      <w:divBdr>
        <w:top w:val="none" w:sz="0" w:space="0" w:color="auto"/>
        <w:left w:val="none" w:sz="0" w:space="0" w:color="auto"/>
        <w:bottom w:val="none" w:sz="0" w:space="0" w:color="auto"/>
        <w:right w:val="none" w:sz="0" w:space="0" w:color="auto"/>
      </w:divBdr>
    </w:div>
    <w:div w:id="850606288">
      <w:bodyDiv w:val="1"/>
      <w:marLeft w:val="0"/>
      <w:marRight w:val="0"/>
      <w:marTop w:val="0"/>
      <w:marBottom w:val="0"/>
      <w:divBdr>
        <w:top w:val="none" w:sz="0" w:space="0" w:color="auto"/>
        <w:left w:val="none" w:sz="0" w:space="0" w:color="auto"/>
        <w:bottom w:val="none" w:sz="0" w:space="0" w:color="auto"/>
        <w:right w:val="none" w:sz="0" w:space="0" w:color="auto"/>
      </w:divBdr>
      <w:divsChild>
        <w:div w:id="1062406152">
          <w:marLeft w:val="0"/>
          <w:marRight w:val="0"/>
          <w:marTop w:val="0"/>
          <w:marBottom w:val="0"/>
          <w:divBdr>
            <w:top w:val="none" w:sz="0" w:space="0" w:color="auto"/>
            <w:left w:val="none" w:sz="0" w:space="0" w:color="auto"/>
            <w:bottom w:val="none" w:sz="0" w:space="0" w:color="auto"/>
            <w:right w:val="none" w:sz="0" w:space="0" w:color="auto"/>
          </w:divBdr>
        </w:div>
      </w:divsChild>
    </w:div>
    <w:div w:id="1390886148">
      <w:bodyDiv w:val="1"/>
      <w:marLeft w:val="0"/>
      <w:marRight w:val="0"/>
      <w:marTop w:val="0"/>
      <w:marBottom w:val="0"/>
      <w:divBdr>
        <w:top w:val="none" w:sz="0" w:space="0" w:color="auto"/>
        <w:left w:val="none" w:sz="0" w:space="0" w:color="auto"/>
        <w:bottom w:val="none" w:sz="0" w:space="0" w:color="auto"/>
        <w:right w:val="none" w:sz="0" w:space="0" w:color="auto"/>
      </w:divBdr>
      <w:divsChild>
        <w:div w:id="339894488">
          <w:marLeft w:val="0"/>
          <w:marRight w:val="0"/>
          <w:marTop w:val="0"/>
          <w:marBottom w:val="0"/>
          <w:divBdr>
            <w:top w:val="none" w:sz="0" w:space="0" w:color="auto"/>
            <w:left w:val="none" w:sz="0" w:space="0" w:color="auto"/>
            <w:bottom w:val="none" w:sz="0" w:space="0" w:color="auto"/>
            <w:right w:val="none" w:sz="0" w:space="0" w:color="auto"/>
          </w:divBdr>
        </w:div>
      </w:divsChild>
    </w:div>
    <w:div w:id="1526284005">
      <w:bodyDiv w:val="1"/>
      <w:marLeft w:val="0"/>
      <w:marRight w:val="0"/>
      <w:marTop w:val="0"/>
      <w:marBottom w:val="0"/>
      <w:divBdr>
        <w:top w:val="none" w:sz="0" w:space="0" w:color="auto"/>
        <w:left w:val="none" w:sz="0" w:space="0" w:color="auto"/>
        <w:bottom w:val="none" w:sz="0" w:space="0" w:color="auto"/>
        <w:right w:val="none" w:sz="0" w:space="0" w:color="auto"/>
      </w:divBdr>
      <w:divsChild>
        <w:div w:id="1350567835">
          <w:marLeft w:val="0"/>
          <w:marRight w:val="0"/>
          <w:marTop w:val="0"/>
          <w:marBottom w:val="0"/>
          <w:divBdr>
            <w:top w:val="none" w:sz="0" w:space="0" w:color="auto"/>
            <w:left w:val="none" w:sz="0" w:space="0" w:color="auto"/>
            <w:bottom w:val="none" w:sz="0" w:space="0" w:color="auto"/>
            <w:right w:val="none" w:sz="0" w:space="0" w:color="auto"/>
          </w:divBdr>
        </w:div>
      </w:divsChild>
    </w:div>
    <w:div w:id="1549488542">
      <w:bodyDiv w:val="1"/>
      <w:marLeft w:val="0"/>
      <w:marRight w:val="0"/>
      <w:marTop w:val="0"/>
      <w:marBottom w:val="0"/>
      <w:divBdr>
        <w:top w:val="none" w:sz="0" w:space="0" w:color="auto"/>
        <w:left w:val="none" w:sz="0" w:space="0" w:color="auto"/>
        <w:bottom w:val="none" w:sz="0" w:space="0" w:color="auto"/>
        <w:right w:val="none" w:sz="0" w:space="0" w:color="auto"/>
      </w:divBdr>
    </w:div>
    <w:div w:id="1605071552">
      <w:bodyDiv w:val="1"/>
      <w:marLeft w:val="0"/>
      <w:marRight w:val="0"/>
      <w:marTop w:val="0"/>
      <w:marBottom w:val="0"/>
      <w:divBdr>
        <w:top w:val="none" w:sz="0" w:space="0" w:color="auto"/>
        <w:left w:val="none" w:sz="0" w:space="0" w:color="auto"/>
        <w:bottom w:val="none" w:sz="0" w:space="0" w:color="auto"/>
        <w:right w:val="none" w:sz="0" w:space="0" w:color="auto"/>
      </w:divBdr>
    </w:div>
    <w:div w:id="1983735409">
      <w:bodyDiv w:val="1"/>
      <w:marLeft w:val="0"/>
      <w:marRight w:val="0"/>
      <w:marTop w:val="0"/>
      <w:marBottom w:val="0"/>
      <w:divBdr>
        <w:top w:val="none" w:sz="0" w:space="0" w:color="auto"/>
        <w:left w:val="none" w:sz="0" w:space="0" w:color="auto"/>
        <w:bottom w:val="none" w:sz="0" w:space="0" w:color="auto"/>
        <w:right w:val="none" w:sz="0" w:space="0" w:color="auto"/>
      </w:divBdr>
    </w:div>
    <w:div w:id="207430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gspace.cgiar.org/handle/10568/24696" TargetMode="External"/><Relationship Id="rId18" Type="http://schemas.openxmlformats.org/officeDocument/2006/relationships/hyperlink" Target="http://recoftc.us1.list-manage.com/track/click?u=a79eee76ce1869204bc04a12d&amp;id=7edc0a9abd&amp;e=3a6b77be3c" TargetMode="External"/><Relationship Id="rId26" Type="http://schemas.openxmlformats.org/officeDocument/2006/relationships/hyperlink" Target="http://www.iisd.org/publications/pub.aspx?pno=1680" TargetMode="External"/><Relationship Id="rId39" Type="http://schemas.openxmlformats.org/officeDocument/2006/relationships/image" Target="media/image10.jpeg"/><Relationship Id="rId21" Type="http://schemas.openxmlformats.org/officeDocument/2006/relationships/image" Target="cid:image002.jpg@01CDB765.F4B38CC0" TargetMode="External"/><Relationship Id="rId34" Type="http://schemas.openxmlformats.org/officeDocument/2006/relationships/image" Target="cid:image006.jpg@01CDB765.F4B38CC0" TargetMode="External"/><Relationship Id="rId42" Type="http://schemas.openxmlformats.org/officeDocument/2006/relationships/hyperlink" Target="http://recoftc.us1.list-manage1.com/track/click?u=a79eee76ce1869204bc04a12d&amp;id=24fa2e388c&amp;e=3a6b77be3c" TargetMode="External"/><Relationship Id="rId47" Type="http://schemas.openxmlformats.org/officeDocument/2006/relationships/image" Target="media/image11.png"/><Relationship Id="rId50" Type="http://schemas.openxmlformats.org/officeDocument/2006/relationships/hyperlink" Target="http://fsdl.qa/en-us/home.aspx" TargetMode="External"/><Relationship Id="rId55" Type="http://schemas.openxmlformats.org/officeDocument/2006/relationships/image" Target="media/image13.jpeg"/><Relationship Id="rId63" Type="http://schemas.openxmlformats.org/officeDocument/2006/relationships/hyperlink" Target="mailto:John.Marra@noaa.gov" TargetMode="External"/><Relationship Id="rId68" Type="http://schemas.openxmlformats.org/officeDocument/2006/relationships/hyperlink" Target="mailto:Deanna.Spooner@piccc.net" TargetMode="External"/><Relationship Id="rId76" Type="http://schemas.openxmlformats.org/officeDocument/2006/relationships/hyperlink" Target="mailto:William.Sweet@noaa.gov" TargetMode="External"/><Relationship Id="rId84" Type="http://schemas.openxmlformats.org/officeDocument/2006/relationships/hyperlink" Target="http://www.scoop.it/t/climate-change-agriculture-food-security" TargetMode="External"/><Relationship Id="rId89" Type="http://schemas.openxmlformats.org/officeDocument/2006/relationships/hyperlink" Target="http://recoftc.us1.list-manage.com/track/click?u=a79eee76ce1869204bc04a12d&amp;id=232c7ddd7c&amp;e=3a6b77be3c" TargetMode="External"/><Relationship Id="rId7" Type="http://schemas.openxmlformats.org/officeDocument/2006/relationships/image" Target="media/image2.png"/><Relationship Id="rId71" Type="http://schemas.openxmlformats.org/officeDocument/2006/relationships/hyperlink" Target="mailto:skizuka@usgs.gov" TargetMode="External"/><Relationship Id="rId2" Type="http://schemas.openxmlformats.org/officeDocument/2006/relationships/styles" Target="styles.xml"/><Relationship Id="rId16" Type="http://schemas.openxmlformats.org/officeDocument/2006/relationships/hyperlink" Target="http://cgspace.cgiar.org/bitstream/handle/10568/24696/CCAFS_PB06-Recalibrating%20Food%20Production.pdf?sequence=1" TargetMode="External"/><Relationship Id="rId29" Type="http://schemas.openxmlformats.org/officeDocument/2006/relationships/hyperlink" Target="http://www.iisd.org/publications/pub.aspx?id=1699" TargetMode="External"/><Relationship Id="rId11" Type="http://schemas.openxmlformats.org/officeDocument/2006/relationships/hyperlink" Target="http://ccafs.cgiar.org/blog/recalibrating-food-production-changing-climate-what-do-we-know-and-what-can-be-done" TargetMode="External"/><Relationship Id="rId24" Type="http://schemas.openxmlformats.org/officeDocument/2006/relationships/image" Target="media/image5.jpeg"/><Relationship Id="rId32" Type="http://schemas.openxmlformats.org/officeDocument/2006/relationships/hyperlink" Target="http://www.iisd.org/publications/pub.aspx?pno=1704" TargetMode="External"/><Relationship Id="rId37" Type="http://schemas.openxmlformats.org/officeDocument/2006/relationships/image" Target="cid:image007.jpg@01CDB765.F4B38CC0" TargetMode="External"/><Relationship Id="rId40" Type="http://schemas.openxmlformats.org/officeDocument/2006/relationships/image" Target="cid:image008.jpg@01CDB765.F4B38CC0" TargetMode="External"/><Relationship Id="rId45" Type="http://schemas.openxmlformats.org/officeDocument/2006/relationships/hyperlink" Target="http://www.scoop.it/t/climate-change-agriculture-food-security/p/3995293867/ecosystem-marketplace-redd-and-the-future-of-br-climate-safe-agriculture" TargetMode="External"/><Relationship Id="rId53" Type="http://schemas.openxmlformats.org/officeDocument/2006/relationships/hyperlink" Target="http://ieg.worldbankgroup.org/content/ieg/en/home/reports/climate_change3.html" TargetMode="External"/><Relationship Id="rId58" Type="http://schemas.openxmlformats.org/officeDocument/2006/relationships/image" Target="media/image14.jpeg"/><Relationship Id="rId66" Type="http://schemas.openxmlformats.org/officeDocument/2006/relationships/hyperlink" Target="https://access.iucn.org/owa/,DanaInfo=mail.iucn.org,SSL+tel:808-944-7254" TargetMode="External"/><Relationship Id="rId74" Type="http://schemas.openxmlformats.org/officeDocument/2006/relationships/hyperlink" Target="https://access.iucn.org/owa/,DanaInfo=mail.iucn.org,SSL+tel:808-587-2406" TargetMode="External"/><Relationship Id="rId79" Type="http://schemas.openxmlformats.org/officeDocument/2006/relationships/hyperlink" Target="http://www.eastwestcenter.org/PIRCA" TargetMode="External"/><Relationship Id="rId87" Type="http://schemas.openxmlformats.org/officeDocument/2006/relationships/hyperlink" Target="http://www.scoop.it/t/climate-change-agriculture-food-security" TargetMode="External"/><Relationship Id="rId5" Type="http://schemas.openxmlformats.org/officeDocument/2006/relationships/image" Target="media/image1.jpeg"/><Relationship Id="rId61" Type="http://schemas.openxmlformats.org/officeDocument/2006/relationships/hyperlink" Target="mailto:KeenerV@EastWestCenter.org" TargetMode="External"/><Relationship Id="rId82" Type="http://schemas.openxmlformats.org/officeDocument/2006/relationships/hyperlink" Target="http://feedproxy.google.com/~r/CGIARClimateRoundup/~3/CRyrRXGXxQc/global-food-crisis-will-worsen-as-heatwaves-damage-crops?utm_source=feedburner&amp;utm_medium=email" TargetMode="External"/><Relationship Id="rId90" Type="http://schemas.openxmlformats.org/officeDocument/2006/relationships/fontTable" Target="fontTable.xml"/><Relationship Id="rId19" Type="http://schemas.openxmlformats.org/officeDocument/2006/relationships/hyperlink" Target="http://www.iisd.org/climate/land_use/redd/" TargetMode="External"/><Relationship Id="rId14" Type="http://schemas.openxmlformats.org/officeDocument/2006/relationships/hyperlink" Target="http://hdl.handle.net/10568/21226" TargetMode="External"/><Relationship Id="rId22" Type="http://schemas.openxmlformats.org/officeDocument/2006/relationships/hyperlink" Target="http://www.iisd.org/climate/land_use/redd/publications.aspx" TargetMode="External"/><Relationship Id="rId27" Type="http://schemas.openxmlformats.org/officeDocument/2006/relationships/image" Target="media/image6.jpeg"/><Relationship Id="rId30" Type="http://schemas.openxmlformats.org/officeDocument/2006/relationships/image" Target="media/image7.jpeg"/><Relationship Id="rId35" Type="http://schemas.openxmlformats.org/officeDocument/2006/relationships/hyperlink" Target="http://www.iisd.org/publications/pub.aspx?pno=1705" TargetMode="External"/><Relationship Id="rId43" Type="http://schemas.openxmlformats.org/officeDocument/2006/relationships/hyperlink" Target="http://www.field.org.uk/files/la_vina_et_al_doha_redd_agriculture_lulucf_nov_12.pdf" TargetMode="External"/><Relationship Id="rId48" Type="http://schemas.openxmlformats.org/officeDocument/2006/relationships/hyperlink" Target="http://www.un.org/News/Press/docs/2012/sgsm14631.doc.htm" TargetMode="External"/><Relationship Id="rId56" Type="http://schemas.openxmlformats.org/officeDocument/2006/relationships/image" Target="cid:image001.jpg@01CDD221.2F4817E0" TargetMode="External"/><Relationship Id="rId64" Type="http://schemas.openxmlformats.org/officeDocument/2006/relationships/hyperlink" Target="https://access.iucn.org/owa/,DanaInfo=mail.iucn.org,SSL+tel:808-944-7453" TargetMode="External"/><Relationship Id="rId69" Type="http://schemas.openxmlformats.org/officeDocument/2006/relationships/hyperlink" Target="https://access.iucn.org/owa/,DanaInfo=mail.iucn.org,SSL+tel:808-687-6148" TargetMode="External"/><Relationship Id="rId77" Type="http://schemas.openxmlformats.org/officeDocument/2006/relationships/hyperlink" Target="mailto:Stephen_E_Miller@fws.gov" TargetMode="External"/><Relationship Id="rId8" Type="http://schemas.openxmlformats.org/officeDocument/2006/relationships/hyperlink" Target="http://www.egfar.org/gcard-2012" TargetMode="External"/><Relationship Id="rId51" Type="http://schemas.openxmlformats.org/officeDocument/2006/relationships/image" Target="media/image12.jpeg"/><Relationship Id="rId72" Type="http://schemas.openxmlformats.org/officeDocument/2006/relationships/hyperlink" Target="https://access.iucn.org/owa/,DanaInfo=mail.iucn.org,SSL+tel:808-587-2415" TargetMode="External"/><Relationship Id="rId80" Type="http://schemas.openxmlformats.org/officeDocument/2006/relationships/hyperlink" Target="mailto:info@PacificRISA.org" TargetMode="External"/><Relationship Id="rId85" Type="http://schemas.openxmlformats.org/officeDocument/2006/relationships/hyperlink" Target="http://feedproxy.google.com/~r/CGIARClimateRoundup/~3/nYtTUvD9Iws/worldwatch-report-188-innovations-in-sustainable-agriculture-supporting-climate-friendly-food-production-worldwatch-institute?utm_source=feedburner&amp;utm_medium=email" TargetMode="External"/><Relationship Id="rId3" Type="http://schemas.openxmlformats.org/officeDocument/2006/relationships/settings" Target="settings.xml"/><Relationship Id="rId12" Type="http://schemas.openxmlformats.org/officeDocument/2006/relationships/hyperlink" Target="http://ccafs.cgiar.org/blog/recalibrating-food-production-changing-climate-what-do-we-know-and-what-can-be-done" TargetMode="External"/><Relationship Id="rId17" Type="http://schemas.openxmlformats.org/officeDocument/2006/relationships/hyperlink" Target="http://climate-l.iisd.org/news/ccafs-reports-highlight-vulnerability-of-agricultural-and-aquatic-systems-to-climate-change/" TargetMode="External"/><Relationship Id="rId25" Type="http://schemas.openxmlformats.org/officeDocument/2006/relationships/image" Target="cid:image003.jpg@01CDB765.F4B38CC0" TargetMode="External"/><Relationship Id="rId33" Type="http://schemas.openxmlformats.org/officeDocument/2006/relationships/image" Target="media/image8.jpeg"/><Relationship Id="rId38" Type="http://schemas.openxmlformats.org/officeDocument/2006/relationships/hyperlink" Target="http://www.iisd.org/publications/pub.aspx?pno=1706" TargetMode="External"/><Relationship Id="rId46" Type="http://schemas.openxmlformats.org/officeDocument/2006/relationships/hyperlink" Target="http://www.scoop.it/t/climate-change-agriculture-food-security" TargetMode="External"/><Relationship Id="rId59" Type="http://schemas.openxmlformats.org/officeDocument/2006/relationships/hyperlink" Target="https://www.dropbox.com/s/jxxouh84a3xh22d/Pacific%20Island%20diagram%202_770.jpg" TargetMode="External"/><Relationship Id="rId67" Type="http://schemas.openxmlformats.org/officeDocument/2006/relationships/hyperlink" Target="https://access.iucn.org/owa/,DanaInfo=mail.iucn.org,SSL+tel:808-783-8787" TargetMode="External"/><Relationship Id="rId20" Type="http://schemas.openxmlformats.org/officeDocument/2006/relationships/image" Target="media/image4.jpeg"/><Relationship Id="rId41" Type="http://schemas.openxmlformats.org/officeDocument/2006/relationships/hyperlink" Target="http://www.iisd.org/climate/land_use/redd/" TargetMode="External"/><Relationship Id="rId54" Type="http://schemas.openxmlformats.org/officeDocument/2006/relationships/hyperlink" Target="http://ow.ly/eTqjY" TargetMode="External"/><Relationship Id="rId62" Type="http://schemas.openxmlformats.org/officeDocument/2006/relationships/hyperlink" Target="https://access.iucn.org/owa/,DanaInfo=mail.iucn.org,SSL+tel:808-944-7220" TargetMode="External"/><Relationship Id="rId70" Type="http://schemas.openxmlformats.org/officeDocument/2006/relationships/hyperlink" Target="https://access.iucn.org/owa/,DanaInfo=mail.iucn.org,SSL+tel:808-343-0223" TargetMode="External"/><Relationship Id="rId75" Type="http://schemas.openxmlformats.org/officeDocument/2006/relationships/hyperlink" Target="mailto:markm@soest.hawaii.edu" TargetMode="External"/><Relationship Id="rId83" Type="http://schemas.openxmlformats.org/officeDocument/2006/relationships/hyperlink" Target="http://www.scoop.it/t/climate-change-agriculture-food-security/p/3994970488/global-food-crisis-will-worsen-as-heatwaves-damage-crops" TargetMode="External"/><Relationship Id="rId88" Type="http://schemas.openxmlformats.org/officeDocument/2006/relationships/hyperlink" Target="http://www.africa.ganadapt.org/index.php/knowledge-base/publications/item/178-climate_change_and_ecosystem-based_adaptation-_a_new_pragmatic_approach_to_buffering_climate_change_impacts"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ao.org/climatechange/micca/79527/en/" TargetMode="External"/><Relationship Id="rId15" Type="http://schemas.openxmlformats.org/officeDocument/2006/relationships/image" Target="media/image3.png"/><Relationship Id="rId23" Type="http://schemas.openxmlformats.org/officeDocument/2006/relationships/hyperlink" Target="http://www.iisd.org/publications/pub.aspx?id=1698" TargetMode="External"/><Relationship Id="rId28" Type="http://schemas.openxmlformats.org/officeDocument/2006/relationships/image" Target="cid:image004.jpg@01CDB765.F4B38CC0" TargetMode="External"/><Relationship Id="rId36" Type="http://schemas.openxmlformats.org/officeDocument/2006/relationships/image" Target="media/image9.jpeg"/><Relationship Id="rId49" Type="http://schemas.openxmlformats.org/officeDocument/2006/relationships/hyperlink" Target="http://www.fao.org/news/story/en/item/164352/icode/" TargetMode="External"/><Relationship Id="rId57" Type="http://schemas.openxmlformats.org/officeDocument/2006/relationships/hyperlink" Target="http://www.eastwestcenter.org/pirca" TargetMode="External"/><Relationship Id="rId10" Type="http://schemas.openxmlformats.org/officeDocument/2006/relationships/hyperlink" Target="http://cgspace.cgiar.org/handle/10568/24696" TargetMode="External"/><Relationship Id="rId31" Type="http://schemas.openxmlformats.org/officeDocument/2006/relationships/image" Target="cid:image005.jpg@01CDB765.F4B38CC0" TargetMode="External"/><Relationship Id="rId44" Type="http://schemas.openxmlformats.org/officeDocument/2006/relationships/hyperlink" Target="http://www.field.org.uk/files/la_vina_et_al_doha_redd_agriculture_lulucf_nov_12.pdf" TargetMode="External"/><Relationship Id="rId52" Type="http://schemas.openxmlformats.org/officeDocument/2006/relationships/hyperlink" Target="http://www.sprep.org/climate-change/sprep-conducts-first-pacific-climate-change-portal-training" TargetMode="External"/><Relationship Id="rId60" Type="http://schemas.openxmlformats.org/officeDocument/2006/relationships/hyperlink" Target="http://tinyurl.com/pircaforum" TargetMode="External"/><Relationship Id="rId65" Type="http://schemas.openxmlformats.org/officeDocument/2006/relationships/hyperlink" Target="mailto:Melissa.Finucane@EastWestCenter.org" TargetMode="External"/><Relationship Id="rId73" Type="http://schemas.openxmlformats.org/officeDocument/2006/relationships/hyperlink" Target="mailto:santhony@usgs.gov" TargetMode="External"/><Relationship Id="rId78" Type="http://schemas.openxmlformats.org/officeDocument/2006/relationships/hyperlink" Target="mailto:Britt.Parker@noaa.gov" TargetMode="External"/><Relationship Id="rId81" Type="http://schemas.openxmlformats.org/officeDocument/2006/relationships/hyperlink" Target="http://eastwestcenter.org/" TargetMode="External"/><Relationship Id="rId86" Type="http://schemas.openxmlformats.org/officeDocument/2006/relationships/hyperlink" Target="http://www.scoop.it/t/climate-change-agriculture-food-security/p/3995066598/worldwatch-report-188-innovations-in-sustainable-agriculture-supporting-climate-friendly-food-production-worldwatch-institute" TargetMode="External"/><Relationship Id="rId4" Type="http://schemas.openxmlformats.org/officeDocument/2006/relationships/webSettings" Target="webSettings.xml"/><Relationship Id="rId9" Type="http://schemas.openxmlformats.org/officeDocument/2006/relationships/hyperlink" Target="http://www.ccafs.cgi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5939</Words>
  <Characters>33858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SPC/CPS</Company>
  <LinksUpToDate>false</LinksUpToDate>
  <CharactersWithSpaces>39718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MiriamaK</dc:creator>
  <cp:lastModifiedBy>ChristopherB</cp:lastModifiedBy>
  <cp:revision>2</cp:revision>
  <dcterms:created xsi:type="dcterms:W3CDTF">2013-01-31T03:47:00Z</dcterms:created>
  <dcterms:modified xsi:type="dcterms:W3CDTF">2013-01-31T03:47:00Z</dcterms:modified>
</cp:coreProperties>
</file>