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950" w:rsidRPr="00204DD8" w:rsidRDefault="00C22B2A" w:rsidP="006F4E89">
      <w:pPr>
        <w:spacing w:after="240" w:line="240" w:lineRule="auto"/>
        <w:rPr>
          <w:sz w:val="48"/>
          <w:szCs w:val="48"/>
        </w:rPr>
      </w:pPr>
      <w:r>
        <w:rPr>
          <w:sz w:val="48"/>
          <w:szCs w:val="48"/>
        </w:rPr>
        <w:t>Global Climate Change Alliance</w:t>
      </w:r>
      <w:r w:rsidR="0069295B">
        <w:rPr>
          <w:sz w:val="48"/>
          <w:szCs w:val="48"/>
        </w:rPr>
        <w:t xml:space="preserve"> </w:t>
      </w:r>
      <w:r>
        <w:rPr>
          <w:sz w:val="48"/>
          <w:szCs w:val="48"/>
        </w:rPr>
        <w:t>– Vanuatu Project</w:t>
      </w:r>
      <w:r w:rsidR="0069295B">
        <w:rPr>
          <w:sz w:val="48"/>
          <w:szCs w:val="48"/>
        </w:rPr>
        <w:t xml:space="preserve"> (GCCA-V)</w:t>
      </w:r>
    </w:p>
    <w:tbl>
      <w:tblPr>
        <w:tblStyle w:val="TableGrid"/>
        <w:tblW w:w="9608" w:type="dxa"/>
        <w:jc w:val="center"/>
        <w:tblLook w:val="04A0"/>
      </w:tblPr>
      <w:tblGrid>
        <w:gridCol w:w="4621"/>
        <w:gridCol w:w="4987"/>
      </w:tblGrid>
      <w:tr w:rsidR="00204DD8" w:rsidTr="00E10F19">
        <w:trPr>
          <w:jc w:val="center"/>
        </w:trPr>
        <w:tc>
          <w:tcPr>
            <w:tcW w:w="4621" w:type="dxa"/>
          </w:tcPr>
          <w:p w:rsidR="00204DD8" w:rsidRPr="00204DD8" w:rsidRDefault="004F3AD0" w:rsidP="00204DD8">
            <w:pPr>
              <w:rPr>
                <w:b/>
              </w:rPr>
            </w:pPr>
            <w:r>
              <w:rPr>
                <w:b/>
              </w:rPr>
              <w:t>Funding Administrator</w:t>
            </w:r>
            <w:r w:rsidR="00204DD8" w:rsidRPr="00204DD8">
              <w:rPr>
                <w:b/>
              </w:rPr>
              <w:t>:</w:t>
            </w:r>
          </w:p>
          <w:p w:rsidR="00204DD8" w:rsidRDefault="004F3AD0" w:rsidP="004F3AD0">
            <w:r>
              <w:t>European Commission</w:t>
            </w:r>
          </w:p>
        </w:tc>
        <w:tc>
          <w:tcPr>
            <w:tcW w:w="4987" w:type="dxa"/>
          </w:tcPr>
          <w:p w:rsidR="00204DD8" w:rsidRPr="00204DD8" w:rsidRDefault="00204DD8" w:rsidP="00204DD8">
            <w:pPr>
              <w:rPr>
                <w:b/>
              </w:rPr>
            </w:pPr>
            <w:r w:rsidRPr="00204DD8">
              <w:rPr>
                <w:b/>
              </w:rPr>
              <w:t>Funding source:</w:t>
            </w:r>
          </w:p>
          <w:p w:rsidR="00204DD8" w:rsidRDefault="0092066B" w:rsidP="004F3AD0">
            <w:r>
              <w:t>G</w:t>
            </w:r>
            <w:r w:rsidR="004F3AD0">
              <w:t>lobal Climate Change Alliance</w:t>
            </w:r>
          </w:p>
        </w:tc>
      </w:tr>
      <w:tr w:rsidR="00204DD8" w:rsidTr="00E10F19">
        <w:trPr>
          <w:jc w:val="center"/>
        </w:trPr>
        <w:tc>
          <w:tcPr>
            <w:tcW w:w="4621" w:type="dxa"/>
          </w:tcPr>
          <w:p w:rsidR="00204DD8" w:rsidRPr="00E10F19" w:rsidRDefault="00204DD8" w:rsidP="00204DD8">
            <w:pPr>
              <w:rPr>
                <w:b/>
              </w:rPr>
            </w:pPr>
            <w:r w:rsidRPr="00E10F19">
              <w:rPr>
                <w:b/>
              </w:rPr>
              <w:t>Total funding:</w:t>
            </w:r>
          </w:p>
          <w:p w:rsidR="00204DD8" w:rsidRDefault="004F3AD0" w:rsidP="00F77B95">
            <w:r>
              <w:t>93.6 million vatu</w:t>
            </w:r>
            <w:r w:rsidR="00F77B95">
              <w:t xml:space="preserve"> (Component A)</w:t>
            </w:r>
          </w:p>
        </w:tc>
        <w:tc>
          <w:tcPr>
            <w:tcW w:w="4987" w:type="dxa"/>
          </w:tcPr>
          <w:p w:rsidR="00204DD8" w:rsidRPr="00204DD8" w:rsidRDefault="00204DD8" w:rsidP="00204DD8">
            <w:pPr>
              <w:rPr>
                <w:b/>
              </w:rPr>
            </w:pPr>
            <w:r w:rsidRPr="00204DD8">
              <w:rPr>
                <w:b/>
              </w:rPr>
              <w:t>Duration:</w:t>
            </w:r>
          </w:p>
          <w:p w:rsidR="00204DD8" w:rsidRDefault="0092066B">
            <w:r>
              <w:t>April 2012 to January 2014</w:t>
            </w:r>
          </w:p>
        </w:tc>
      </w:tr>
      <w:tr w:rsidR="00F540E8" w:rsidTr="00E10F19">
        <w:trPr>
          <w:jc w:val="center"/>
        </w:trPr>
        <w:tc>
          <w:tcPr>
            <w:tcW w:w="4621" w:type="dxa"/>
          </w:tcPr>
          <w:p w:rsidR="00F540E8" w:rsidRDefault="00F540E8" w:rsidP="00204DD8">
            <w:pPr>
              <w:rPr>
                <w:b/>
              </w:rPr>
            </w:pPr>
            <w:r>
              <w:rPr>
                <w:b/>
              </w:rPr>
              <w:t>Status:</w:t>
            </w:r>
          </w:p>
          <w:p w:rsidR="00F540E8" w:rsidRPr="00F540E8" w:rsidRDefault="00F540E8" w:rsidP="00204DD8">
            <w:r w:rsidRPr="00F540E8">
              <w:t>Implementation phase</w:t>
            </w:r>
          </w:p>
        </w:tc>
        <w:tc>
          <w:tcPr>
            <w:tcW w:w="4987" w:type="dxa"/>
          </w:tcPr>
          <w:p w:rsidR="00F540E8" w:rsidRDefault="00F540E8" w:rsidP="00204DD8">
            <w:pPr>
              <w:rPr>
                <w:b/>
              </w:rPr>
            </w:pPr>
            <w:r>
              <w:rPr>
                <w:b/>
              </w:rPr>
              <w:t>Project type:</w:t>
            </w:r>
          </w:p>
          <w:p w:rsidR="000B6046" w:rsidRDefault="00F540E8" w:rsidP="00204DD8">
            <w:r>
              <w:t xml:space="preserve">Institutional </w:t>
            </w:r>
            <w:r w:rsidR="000B6046">
              <w:t>strengthening</w:t>
            </w:r>
            <w:r w:rsidR="00E10F19">
              <w:t xml:space="preserve">; </w:t>
            </w:r>
            <w:r w:rsidR="000B6046">
              <w:t>Mainstreaming</w:t>
            </w:r>
            <w:r w:rsidR="00E10F19">
              <w:t>;</w:t>
            </w:r>
          </w:p>
          <w:p w:rsidR="00E10F19" w:rsidRPr="004F3AD0" w:rsidRDefault="00E10F19" w:rsidP="00E10F19">
            <w:r>
              <w:t>Data collection; Policy development</w:t>
            </w:r>
          </w:p>
        </w:tc>
      </w:tr>
      <w:tr w:rsidR="00F540E8" w:rsidTr="00E10F19">
        <w:trPr>
          <w:jc w:val="center"/>
        </w:trPr>
        <w:tc>
          <w:tcPr>
            <w:tcW w:w="4621" w:type="dxa"/>
          </w:tcPr>
          <w:p w:rsidR="00F540E8" w:rsidRDefault="00F540E8" w:rsidP="00204DD8">
            <w:pPr>
              <w:rPr>
                <w:b/>
              </w:rPr>
            </w:pPr>
            <w:r>
              <w:rPr>
                <w:b/>
              </w:rPr>
              <w:t>Sectors:</w:t>
            </w:r>
          </w:p>
          <w:p w:rsidR="000B6046" w:rsidRPr="00F540E8" w:rsidRDefault="000B6046" w:rsidP="00E10F19">
            <w:r>
              <w:t>Climate Change Adaptation</w:t>
            </w:r>
            <w:r w:rsidR="00E10F19">
              <w:t xml:space="preserve">; </w:t>
            </w:r>
            <w:r>
              <w:t>Disaster Risk Reduction</w:t>
            </w:r>
            <w:r w:rsidR="00E10F19">
              <w:t>; all sectors</w:t>
            </w:r>
          </w:p>
        </w:tc>
        <w:tc>
          <w:tcPr>
            <w:tcW w:w="4987" w:type="dxa"/>
          </w:tcPr>
          <w:p w:rsidR="00F540E8" w:rsidRDefault="00F540E8" w:rsidP="00204DD8">
            <w:pPr>
              <w:rPr>
                <w:b/>
              </w:rPr>
            </w:pPr>
            <w:r>
              <w:rPr>
                <w:b/>
              </w:rPr>
              <w:t>Scope:</w:t>
            </w:r>
          </w:p>
          <w:p w:rsidR="00F540E8" w:rsidRDefault="00F540E8" w:rsidP="00204DD8">
            <w:r>
              <w:t>National and provincial</w:t>
            </w:r>
          </w:p>
          <w:p w:rsidR="00F540E8" w:rsidRPr="00F540E8" w:rsidRDefault="00F540E8" w:rsidP="00204DD8"/>
        </w:tc>
      </w:tr>
      <w:tr w:rsidR="00204DD8" w:rsidTr="00E10F19">
        <w:trPr>
          <w:jc w:val="center"/>
        </w:trPr>
        <w:tc>
          <w:tcPr>
            <w:tcW w:w="4621" w:type="dxa"/>
          </w:tcPr>
          <w:p w:rsidR="00204DD8" w:rsidRPr="00204DD8" w:rsidRDefault="00204DD8" w:rsidP="00204DD8">
            <w:pPr>
              <w:rPr>
                <w:b/>
              </w:rPr>
            </w:pPr>
            <w:r w:rsidRPr="00204DD8">
              <w:rPr>
                <w:b/>
              </w:rPr>
              <w:t xml:space="preserve">Lead </w:t>
            </w:r>
            <w:proofErr w:type="spellStart"/>
            <w:r w:rsidRPr="00204DD8">
              <w:rPr>
                <w:b/>
              </w:rPr>
              <w:t>GoV</w:t>
            </w:r>
            <w:proofErr w:type="spellEnd"/>
            <w:r w:rsidRPr="00204DD8">
              <w:rPr>
                <w:b/>
              </w:rPr>
              <w:t xml:space="preserve"> Agency:</w:t>
            </w:r>
          </w:p>
          <w:p w:rsidR="00204DD8" w:rsidRDefault="0092066B">
            <w:r>
              <w:t>Vanuatu Meteorology and Geo-hazards Department</w:t>
            </w:r>
            <w:r w:rsidR="004F3AD0">
              <w:t xml:space="preserve"> (VMGD)</w:t>
            </w:r>
          </w:p>
        </w:tc>
        <w:tc>
          <w:tcPr>
            <w:tcW w:w="4987" w:type="dxa"/>
          </w:tcPr>
          <w:p w:rsidR="00204DD8" w:rsidRPr="00204DD8" w:rsidRDefault="00204DD8" w:rsidP="00204DD8">
            <w:pPr>
              <w:rPr>
                <w:b/>
              </w:rPr>
            </w:pPr>
            <w:r w:rsidRPr="00204DD8">
              <w:rPr>
                <w:b/>
              </w:rPr>
              <w:t xml:space="preserve">Other </w:t>
            </w:r>
            <w:proofErr w:type="spellStart"/>
            <w:r w:rsidRPr="00204DD8">
              <w:rPr>
                <w:b/>
              </w:rPr>
              <w:t>GoV</w:t>
            </w:r>
            <w:proofErr w:type="spellEnd"/>
            <w:r w:rsidRPr="00204DD8">
              <w:rPr>
                <w:b/>
              </w:rPr>
              <w:t xml:space="preserve"> Agencies:</w:t>
            </w:r>
          </w:p>
          <w:p w:rsidR="00204DD8" w:rsidRDefault="0092066B">
            <w:r>
              <w:t>Department of Environment</w:t>
            </w:r>
            <w:r w:rsidR="004F3AD0">
              <w:t>al Protection</w:t>
            </w:r>
            <w:r>
              <w:t xml:space="preserve"> and Conservation</w:t>
            </w:r>
            <w:r w:rsidR="00F77B95">
              <w:t xml:space="preserve"> (DEPC)</w:t>
            </w:r>
          </w:p>
        </w:tc>
      </w:tr>
      <w:tr w:rsidR="002E21F9" w:rsidTr="00E10F19">
        <w:trPr>
          <w:jc w:val="center"/>
        </w:trPr>
        <w:tc>
          <w:tcPr>
            <w:tcW w:w="4621" w:type="dxa"/>
          </w:tcPr>
          <w:p w:rsidR="002E21F9" w:rsidRPr="00CF4DA5" w:rsidRDefault="002E21F9" w:rsidP="00204DD8">
            <w:pPr>
              <w:rPr>
                <w:b/>
              </w:rPr>
            </w:pPr>
            <w:r w:rsidRPr="00CF4DA5">
              <w:rPr>
                <w:b/>
              </w:rPr>
              <w:t>Media Contact:</w:t>
            </w:r>
          </w:p>
          <w:p w:rsidR="002E21F9" w:rsidRPr="004F3AD0" w:rsidRDefault="004F3AD0" w:rsidP="00204DD8">
            <w:r>
              <w:t xml:space="preserve">Williams </w:t>
            </w:r>
            <w:proofErr w:type="spellStart"/>
            <w:r>
              <w:t>Worworkan</w:t>
            </w:r>
            <w:proofErr w:type="spellEnd"/>
            <w:r>
              <w:t>, Principal Training Officer, VMGD, wbworworkan@meteo.gov.vu</w:t>
            </w:r>
          </w:p>
        </w:tc>
        <w:tc>
          <w:tcPr>
            <w:tcW w:w="4987" w:type="dxa"/>
          </w:tcPr>
          <w:p w:rsidR="002E21F9" w:rsidRDefault="002E21F9" w:rsidP="002E21F9">
            <w:pPr>
              <w:rPr>
                <w:b/>
              </w:rPr>
            </w:pPr>
            <w:r w:rsidRPr="00CF4DA5">
              <w:rPr>
                <w:b/>
              </w:rPr>
              <w:t>Project Contact:</w:t>
            </w:r>
          </w:p>
          <w:p w:rsidR="00CF4DA5" w:rsidRPr="00CF4DA5" w:rsidRDefault="00CF4DA5" w:rsidP="002E21F9">
            <w:r w:rsidRPr="00CF4DA5">
              <w:t>Brian Phi</w:t>
            </w:r>
            <w:r w:rsidR="004F3AD0">
              <w:t>l</w:t>
            </w:r>
            <w:r w:rsidRPr="00CF4DA5">
              <w:t>lips</w:t>
            </w:r>
            <w:r w:rsidR="004F3AD0">
              <w:t xml:space="preserve">, Manager, Project Management Unit, </w:t>
            </w:r>
            <w:r w:rsidRPr="00CF4DA5">
              <w:t xml:space="preserve"> </w:t>
            </w:r>
            <w:r w:rsidR="004F3AD0">
              <w:t xml:space="preserve">VMGD, </w:t>
            </w:r>
            <w:r w:rsidR="00E10F19">
              <w:t>bphillips@meteo.gov.vu</w:t>
            </w:r>
          </w:p>
        </w:tc>
      </w:tr>
    </w:tbl>
    <w:p w:rsidR="00204DD8" w:rsidRDefault="00204DD8"/>
    <w:p w:rsidR="00204DD8" w:rsidRDefault="00204DD8">
      <w:pPr>
        <w:rPr>
          <w:b/>
        </w:rPr>
      </w:pPr>
      <w:r w:rsidRPr="00204DD8">
        <w:rPr>
          <w:b/>
        </w:rPr>
        <w:t>Objective:</w:t>
      </w:r>
    </w:p>
    <w:p w:rsidR="0092066B" w:rsidRPr="0092066B" w:rsidRDefault="00C22B2A">
      <w:r>
        <w:t>To mainstream climate change adaptation and climate related disaster risk reduction into core aspects of Vanuatu’s governance processes, policy and decision making.</w:t>
      </w:r>
    </w:p>
    <w:p w:rsidR="00204DD8" w:rsidRDefault="00204DD8">
      <w:pPr>
        <w:rPr>
          <w:b/>
        </w:rPr>
      </w:pPr>
      <w:r w:rsidRPr="00204DD8">
        <w:rPr>
          <w:b/>
        </w:rPr>
        <w:t>Description:</w:t>
      </w:r>
    </w:p>
    <w:p w:rsidR="00C22B2A" w:rsidRDefault="00C22B2A" w:rsidP="00AE0E87">
      <w:pPr>
        <w:jc w:val="both"/>
      </w:pPr>
      <w:r>
        <w:t xml:space="preserve">GCCA–Vanuatu consists of </w:t>
      </w:r>
      <w:r w:rsidR="006A60B0">
        <w:t>two separate components with differing objectives and i</w:t>
      </w:r>
      <w:r w:rsidR="008E553D">
        <w:t xml:space="preserve">mplementation modes. </w:t>
      </w:r>
      <w:r w:rsidR="00F77B95">
        <w:t>Component A – the subject of this brief – covers</w:t>
      </w:r>
      <w:r w:rsidR="006A60B0">
        <w:t xml:space="preserve"> the enhancement of policy development on and institutional strengthening of climate change in Vanuatu. </w:t>
      </w:r>
      <w:r w:rsidR="00F77B95">
        <w:t xml:space="preserve">Component B </w:t>
      </w:r>
      <w:r w:rsidR="006A60B0">
        <w:t xml:space="preserve">focuses on increasing resilience to climate change and natural hazards </w:t>
      </w:r>
      <w:r w:rsidR="00686043">
        <w:t xml:space="preserve">and will be implemented by the World Bank </w:t>
      </w:r>
      <w:r w:rsidR="006A60B0">
        <w:t xml:space="preserve">through an Administrative Agreement between </w:t>
      </w:r>
      <w:r w:rsidR="00686043">
        <w:t>the E</w:t>
      </w:r>
      <w:r w:rsidR="00F77B95">
        <w:t>uropean Commission</w:t>
      </w:r>
      <w:r w:rsidR="00686043">
        <w:t xml:space="preserve"> and World Bank</w:t>
      </w:r>
      <w:r w:rsidR="00F77B95">
        <w:t xml:space="preserve"> (see separate brief on the IRCCNH project)</w:t>
      </w:r>
      <w:r w:rsidR="00686043">
        <w:t>.</w:t>
      </w:r>
    </w:p>
    <w:p w:rsidR="00F77B95" w:rsidRDefault="00F77B95" w:rsidP="00AE0E87">
      <w:pPr>
        <w:jc w:val="both"/>
      </w:pPr>
      <w:r>
        <w:t xml:space="preserve">The activities to be implemented under Component </w:t>
      </w:r>
      <w:proofErr w:type="gramStart"/>
      <w:r>
        <w:t>A</w:t>
      </w:r>
      <w:proofErr w:type="gramEnd"/>
      <w:r>
        <w:t xml:space="preserve"> are:</w:t>
      </w:r>
    </w:p>
    <w:p w:rsidR="000F0F2D" w:rsidRDefault="007E2DA3" w:rsidP="006F4E89">
      <w:pPr>
        <w:numPr>
          <w:ilvl w:val="0"/>
          <w:numId w:val="2"/>
        </w:numPr>
        <w:spacing w:after="60"/>
        <w:ind w:left="714" w:hanging="357"/>
        <w:jc w:val="both"/>
      </w:pPr>
      <w:r w:rsidRPr="00F77B95">
        <w:t>Develop</w:t>
      </w:r>
      <w:r w:rsidR="006F4E89">
        <w:t>ing a</w:t>
      </w:r>
      <w:r w:rsidRPr="00F77B95">
        <w:t xml:space="preserve"> national</w:t>
      </w:r>
      <w:r w:rsidR="00647FB5">
        <w:t xml:space="preserve"> climate change and disaster risk reduction</w:t>
      </w:r>
      <w:r w:rsidRPr="00F77B95">
        <w:t xml:space="preserve"> policy</w:t>
      </w:r>
      <w:r w:rsidR="00647FB5">
        <w:t xml:space="preserve"> and action plan</w:t>
      </w:r>
    </w:p>
    <w:p w:rsidR="00647FB5" w:rsidRDefault="00647FB5" w:rsidP="006F4E89">
      <w:pPr>
        <w:numPr>
          <w:ilvl w:val="0"/>
          <w:numId w:val="2"/>
        </w:numPr>
        <w:spacing w:after="60"/>
        <w:ind w:left="714" w:hanging="357"/>
        <w:jc w:val="both"/>
      </w:pPr>
      <w:r>
        <w:t>Seminars for mainstreaming CC &amp; DRR into sector policies and plans (part of policy implementation</w:t>
      </w:r>
      <w:r w:rsidR="00E91BB5">
        <w:t xml:space="preserve"> in late 2013</w:t>
      </w:r>
      <w:r>
        <w:t>)</w:t>
      </w:r>
    </w:p>
    <w:p w:rsidR="00647FB5" w:rsidRDefault="00647FB5" w:rsidP="006F4E89">
      <w:pPr>
        <w:numPr>
          <w:ilvl w:val="0"/>
          <w:numId w:val="2"/>
        </w:numPr>
        <w:spacing w:after="60"/>
        <w:ind w:left="714" w:hanging="357"/>
        <w:jc w:val="both"/>
      </w:pPr>
      <w:r>
        <w:t xml:space="preserve">Training </w:t>
      </w:r>
      <w:r w:rsidR="00E91BB5">
        <w:t>for the enforcement of environment-related laws and handling of ozone depleting substances</w:t>
      </w:r>
    </w:p>
    <w:p w:rsidR="00E91BB5" w:rsidRPr="00F77B95" w:rsidRDefault="00E91BB5" w:rsidP="006F4E89">
      <w:pPr>
        <w:numPr>
          <w:ilvl w:val="0"/>
          <w:numId w:val="2"/>
        </w:numPr>
        <w:spacing w:after="60"/>
        <w:ind w:left="714" w:hanging="357"/>
        <w:jc w:val="both"/>
      </w:pPr>
      <w:r>
        <w:t xml:space="preserve">NAB meetings and attendance of Vanuatu officials in regional and international CC/DRR </w:t>
      </w:r>
      <w:proofErr w:type="spellStart"/>
      <w:r>
        <w:t>fora</w:t>
      </w:r>
      <w:proofErr w:type="spellEnd"/>
    </w:p>
    <w:p w:rsidR="000F0F2D" w:rsidRPr="00F77B95" w:rsidRDefault="007E2DA3" w:rsidP="006F4E89">
      <w:pPr>
        <w:numPr>
          <w:ilvl w:val="0"/>
          <w:numId w:val="2"/>
        </w:numPr>
        <w:spacing w:after="60"/>
        <w:ind w:left="714" w:hanging="357"/>
        <w:jc w:val="both"/>
      </w:pPr>
      <w:r w:rsidRPr="00F77B95">
        <w:t>Stakeholder and climate finance mapping</w:t>
      </w:r>
    </w:p>
    <w:p w:rsidR="00E91BB5" w:rsidRPr="00F77B95" w:rsidRDefault="00E91BB5" w:rsidP="006F4E89">
      <w:pPr>
        <w:numPr>
          <w:ilvl w:val="0"/>
          <w:numId w:val="2"/>
        </w:numPr>
        <w:spacing w:after="60"/>
        <w:ind w:left="714" w:hanging="357"/>
        <w:jc w:val="both"/>
      </w:pPr>
      <w:r>
        <w:t xml:space="preserve">Training the </w:t>
      </w:r>
      <w:r w:rsidRPr="00F77B95">
        <w:t>Rainfall</w:t>
      </w:r>
      <w:r>
        <w:t xml:space="preserve"> Monitoring N</w:t>
      </w:r>
      <w:r w:rsidRPr="00F77B95">
        <w:t xml:space="preserve">etwork to collect climate change </w:t>
      </w:r>
      <w:r>
        <w:t>data</w:t>
      </w:r>
    </w:p>
    <w:p w:rsidR="000F0F2D" w:rsidRPr="00F77B95" w:rsidRDefault="00647FB5" w:rsidP="006F4E89">
      <w:pPr>
        <w:numPr>
          <w:ilvl w:val="0"/>
          <w:numId w:val="2"/>
        </w:numPr>
        <w:spacing w:after="60"/>
        <w:ind w:left="714" w:hanging="357"/>
        <w:jc w:val="both"/>
      </w:pPr>
      <w:r>
        <w:t>Develop</w:t>
      </w:r>
      <w:r w:rsidR="00E91BB5">
        <w:t>ing</w:t>
      </w:r>
      <w:r>
        <w:t xml:space="preserve"> a national </w:t>
      </w:r>
      <w:r w:rsidR="007E2DA3" w:rsidRPr="00F77B95">
        <w:t>Information, Communication and Engagement Strategy</w:t>
      </w:r>
      <w:r>
        <w:t xml:space="preserve"> for CC &amp; DRR</w:t>
      </w:r>
    </w:p>
    <w:p w:rsidR="000F0F2D" w:rsidRDefault="006F4E89" w:rsidP="006F4E89">
      <w:pPr>
        <w:numPr>
          <w:ilvl w:val="0"/>
          <w:numId w:val="2"/>
        </w:numPr>
        <w:spacing w:after="60"/>
        <w:ind w:left="714" w:hanging="357"/>
        <w:jc w:val="both"/>
      </w:pPr>
      <w:r>
        <w:t>A</w:t>
      </w:r>
      <w:r w:rsidR="00E91BB5">
        <w:t xml:space="preserve"> national</w:t>
      </w:r>
      <w:r w:rsidR="00647FB5">
        <w:t xml:space="preserve"> workshop to d</w:t>
      </w:r>
      <w:r w:rsidR="007E2DA3" w:rsidRPr="00F77B95">
        <w:t>evelop</w:t>
      </w:r>
      <w:r w:rsidR="00647FB5">
        <w:t xml:space="preserve"> </w:t>
      </w:r>
      <w:r w:rsidR="007E2DA3" w:rsidRPr="00F77B95">
        <w:t xml:space="preserve">consistent </w:t>
      </w:r>
      <w:r w:rsidR="00647FB5">
        <w:t xml:space="preserve">CC &amp; DRR </w:t>
      </w:r>
      <w:r w:rsidR="007E2DA3" w:rsidRPr="00F77B95">
        <w:t>messaging</w:t>
      </w:r>
      <w:r w:rsidR="00647FB5">
        <w:t xml:space="preserve"> amongst all stakeholders</w:t>
      </w:r>
    </w:p>
    <w:p w:rsidR="00E91BB5" w:rsidRPr="00F77B95" w:rsidRDefault="006F4E89" w:rsidP="006F4E89">
      <w:pPr>
        <w:numPr>
          <w:ilvl w:val="0"/>
          <w:numId w:val="2"/>
        </w:numPr>
        <w:spacing w:after="60"/>
        <w:ind w:left="714" w:hanging="357"/>
        <w:jc w:val="both"/>
      </w:pPr>
      <w:r>
        <w:t>A</w:t>
      </w:r>
      <w:r w:rsidR="00E91BB5">
        <w:t xml:space="preserve"> Climate Change Symposium</w:t>
      </w:r>
    </w:p>
    <w:p w:rsidR="00E91BB5" w:rsidRDefault="00E91BB5" w:rsidP="006F4E89">
      <w:pPr>
        <w:numPr>
          <w:ilvl w:val="0"/>
          <w:numId w:val="2"/>
        </w:numPr>
        <w:spacing w:after="60"/>
        <w:ind w:left="714" w:hanging="357"/>
        <w:jc w:val="both"/>
      </w:pPr>
      <w:r>
        <w:lastRenderedPageBreak/>
        <w:t xml:space="preserve">Collecting and sharing lessons learned and best practice adaptation </w:t>
      </w:r>
    </w:p>
    <w:p w:rsidR="00E91BB5" w:rsidRDefault="00E91BB5" w:rsidP="006F4E89">
      <w:pPr>
        <w:numPr>
          <w:ilvl w:val="0"/>
          <w:numId w:val="2"/>
        </w:numPr>
        <w:spacing w:after="60"/>
        <w:ind w:left="714" w:hanging="357"/>
        <w:jc w:val="both"/>
      </w:pPr>
      <w:r>
        <w:t>Establishing a framework on Traditional Knowledge &amp; Indicators on CC &amp; DRR</w:t>
      </w:r>
    </w:p>
    <w:p w:rsidR="000F0F2D" w:rsidRDefault="006F4E89" w:rsidP="006F4E89">
      <w:pPr>
        <w:numPr>
          <w:ilvl w:val="0"/>
          <w:numId w:val="2"/>
        </w:numPr>
        <w:spacing w:after="60"/>
        <w:ind w:left="714" w:hanging="357"/>
        <w:jc w:val="both"/>
      </w:pPr>
      <w:r>
        <w:t>Collecting data on agricultural sector adaptation practices through a second Agro-meteorological Summit</w:t>
      </w:r>
    </w:p>
    <w:p w:rsidR="0005355D" w:rsidRPr="00F77B95" w:rsidRDefault="0005355D" w:rsidP="0005355D">
      <w:pPr>
        <w:numPr>
          <w:ilvl w:val="0"/>
          <w:numId w:val="2"/>
        </w:numPr>
        <w:spacing w:after="240"/>
        <w:ind w:left="714" w:hanging="357"/>
        <w:jc w:val="both"/>
      </w:pPr>
      <w:r>
        <w:t>Visibility and communications activities</w:t>
      </w:r>
    </w:p>
    <w:p w:rsidR="00E66523" w:rsidRPr="00E66523" w:rsidRDefault="00E66523" w:rsidP="00AE0E87">
      <w:pPr>
        <w:jc w:val="both"/>
        <w:rPr>
          <w:b/>
        </w:rPr>
      </w:pPr>
      <w:r>
        <w:rPr>
          <w:b/>
        </w:rPr>
        <w:t>Progress to date and current activities</w:t>
      </w:r>
      <w:r w:rsidRPr="00E66523">
        <w:rPr>
          <w:b/>
        </w:rPr>
        <w:t>:</w:t>
      </w:r>
    </w:p>
    <w:p w:rsidR="00647FB5" w:rsidRDefault="00E66523" w:rsidP="00AE0E87">
      <w:pPr>
        <w:jc w:val="both"/>
      </w:pPr>
      <w:r>
        <w:t xml:space="preserve">The first six months of implementation involved the establishment of the </w:t>
      </w:r>
      <w:r w:rsidR="00277EAC">
        <w:t xml:space="preserve">new National Advisory Board on Climate Change and Disaster Risk Reduction and the </w:t>
      </w:r>
      <w:r>
        <w:t>Project Management Unit</w:t>
      </w:r>
      <w:r w:rsidR="006136AF">
        <w:t xml:space="preserve"> (PMU)</w:t>
      </w:r>
      <w:r>
        <w:t xml:space="preserve"> as Secretariat to the NAB</w:t>
      </w:r>
      <w:r w:rsidR="00277EAC">
        <w:t xml:space="preserve">. </w:t>
      </w:r>
      <w:r w:rsidR="006136AF">
        <w:t>T</w:t>
      </w:r>
      <w:r>
        <w:t>hree</w:t>
      </w:r>
      <w:r w:rsidR="00277EAC">
        <w:t xml:space="preserve"> full time</w:t>
      </w:r>
      <w:r>
        <w:t xml:space="preserve"> staff</w:t>
      </w:r>
      <w:r w:rsidR="00277EAC">
        <w:t xml:space="preserve"> </w:t>
      </w:r>
      <w:proofErr w:type="gramStart"/>
      <w:r w:rsidR="00277EAC">
        <w:t>are</w:t>
      </w:r>
      <w:proofErr w:type="gramEnd"/>
      <w:r w:rsidR="00277EAC">
        <w:t xml:space="preserve"> </w:t>
      </w:r>
      <w:r w:rsidR="006136AF">
        <w:t xml:space="preserve">currently </w:t>
      </w:r>
      <w:r w:rsidR="00277EAC">
        <w:t>funded under the GCCA-V</w:t>
      </w:r>
      <w:r w:rsidR="006F4E89">
        <w:t xml:space="preserve"> to implement the activities listed above</w:t>
      </w:r>
      <w:r w:rsidR="00277EAC">
        <w:t xml:space="preserve">, with three more </w:t>
      </w:r>
      <w:r w:rsidR="006F4E89">
        <w:t xml:space="preserve">staff </w:t>
      </w:r>
      <w:r w:rsidR="00277EAC">
        <w:t>to commence in January. Several mini-NAB meetings were held with key stakeholders</w:t>
      </w:r>
      <w:r w:rsidR="006F4E89">
        <w:t xml:space="preserve"> throughout 2012</w:t>
      </w:r>
      <w:r w:rsidR="00277EAC">
        <w:t>, along with two consultation workshops</w:t>
      </w:r>
      <w:r w:rsidR="006136AF">
        <w:t xml:space="preserve"> on the development of a national climate change and disaster risk reduction policy and action plan for Vanuatu</w:t>
      </w:r>
      <w:r w:rsidR="00277EAC">
        <w:t>.</w:t>
      </w:r>
    </w:p>
    <w:p w:rsidR="00E66523" w:rsidRDefault="00277EAC" w:rsidP="00AE0E87">
      <w:pPr>
        <w:jc w:val="both"/>
      </w:pPr>
      <w:r>
        <w:t>The PMU also developed and sought EU approval for additional GCCA-V activities for 2013, and began its role in the coordination of national CC and DRR activities more broadly through</w:t>
      </w:r>
      <w:r w:rsidR="00F77B95">
        <w:t>:</w:t>
      </w:r>
      <w:r>
        <w:t xml:space="preserve"> </w:t>
      </w:r>
      <w:r w:rsidR="00F77B95">
        <w:t xml:space="preserve">business plan development; </w:t>
      </w:r>
      <w:r>
        <w:t>various stakeholder meetings</w:t>
      </w:r>
      <w:r w:rsidR="00F77B95">
        <w:t>; participation in</w:t>
      </w:r>
      <w:r w:rsidR="006F4E89">
        <w:t xml:space="preserve"> a range of</w:t>
      </w:r>
      <w:r w:rsidR="00F77B95">
        <w:t xml:space="preserve"> workshops on CC and DRR related activities;</w:t>
      </w:r>
      <w:r>
        <w:t xml:space="preserve"> and </w:t>
      </w:r>
      <w:r w:rsidR="006F4E89">
        <w:t xml:space="preserve">ensuring </w:t>
      </w:r>
      <w:r>
        <w:t xml:space="preserve">NAB </w:t>
      </w:r>
      <w:r w:rsidR="006F4E89">
        <w:t xml:space="preserve">oversight of </w:t>
      </w:r>
      <w:r>
        <w:t>several projects about to commence in Vanuatu – including two large projects administered by the World Bank.</w:t>
      </w:r>
    </w:p>
    <w:p w:rsidR="00647FB5" w:rsidRDefault="00E91BB5" w:rsidP="00AE0E87">
      <w:pPr>
        <w:jc w:val="both"/>
      </w:pPr>
      <w:r>
        <w:t xml:space="preserve">In November, </w:t>
      </w:r>
      <w:r w:rsidR="00647FB5">
        <w:t xml:space="preserve">DEPC held </w:t>
      </w:r>
      <w:r>
        <w:t>training workshops in Port Vila and in several provinces on enforcing environment-related laws. The Department will be holding training workshops on the handing of ozone depleting substances in early 2013.</w:t>
      </w:r>
    </w:p>
    <w:p w:rsidR="00277EAC" w:rsidRPr="00C22B2A" w:rsidRDefault="00277EAC" w:rsidP="00AE0E87">
      <w:pPr>
        <w:jc w:val="both"/>
      </w:pPr>
      <w:r>
        <w:t>Most GCCA-V activities will be carried out in 2013.</w:t>
      </w:r>
    </w:p>
    <w:p w:rsidR="00204DD8" w:rsidRDefault="00204DD8">
      <w:pPr>
        <w:rPr>
          <w:b/>
        </w:rPr>
      </w:pPr>
      <w:r w:rsidRPr="00204DD8">
        <w:rPr>
          <w:b/>
        </w:rPr>
        <w:t>Background</w:t>
      </w:r>
      <w:r>
        <w:rPr>
          <w:b/>
        </w:rPr>
        <w:t>:</w:t>
      </w:r>
    </w:p>
    <w:p w:rsidR="00874F56" w:rsidRPr="00874F56" w:rsidRDefault="00874F56">
      <w:r w:rsidRPr="00874F56">
        <w:t>Vanuatu is exposed to both climatic and geo</w:t>
      </w:r>
      <w:r>
        <w:t xml:space="preserve">logical risks. The country’s vulnerability is further amplified </w:t>
      </w:r>
      <w:r w:rsidR="002B09C3">
        <w:t xml:space="preserve">by a narrow economic base and a number of other socio-economic factors such as a predominately rural based population dependant on subsistence agriculture. </w:t>
      </w:r>
      <w:r w:rsidR="00F540E8">
        <w:t>Accordingly</w:t>
      </w:r>
      <w:r w:rsidR="00CF4DA5">
        <w:t xml:space="preserve"> t</w:t>
      </w:r>
      <w:r w:rsidR="00F540E8">
        <w:t>he Supplementary Prio</w:t>
      </w:r>
      <w:r w:rsidR="00CF4DA5">
        <w:t>ritised Action Agenda (PAA) places emphasis on climate change adaptation and disaster risk reduction.</w:t>
      </w:r>
    </w:p>
    <w:p w:rsidR="008E553D" w:rsidRDefault="008E553D">
      <w:r>
        <w:t xml:space="preserve">In 1989 the Vanuatu Government formed the National Advisory Committee on Climate Change (NACCC), what is now the National Advisory Board on Climate Change and Disaster Risk Reduction (NAB) to advise the government on matters relating to climate and coordinate climate change initiatives in the country. The Climate Change </w:t>
      </w:r>
      <w:r w:rsidR="00927038">
        <w:t xml:space="preserve">Unit of the Vanuatu Meteorology and Geo-hazards Department played the significant role of climate change policy coordination as Secretariat to the NACCC. However this Unit had limited human resources and capacities and needed strengthening to </w:t>
      </w:r>
      <w:r w:rsidR="001C32A7">
        <w:t>undertake its key functions effectively. The</w:t>
      </w:r>
      <w:r w:rsidR="000B495C">
        <w:t xml:space="preserve">refore this project </w:t>
      </w:r>
      <w:r w:rsidR="00E66523">
        <w:t>is primarily focussed on</w:t>
      </w:r>
      <w:r w:rsidR="001C32A7">
        <w:t xml:space="preserve"> strengthening the capacity of the Climate Change Unit (CCU) to deliver effective Secretariat services to the NAB and </w:t>
      </w:r>
      <w:r w:rsidR="000B495C">
        <w:t>technical support for improved climate change policy development, mainstreaming and coordination.</w:t>
      </w:r>
    </w:p>
    <w:p w:rsidR="00204DD8" w:rsidRPr="00204DD8" w:rsidRDefault="00CF4DA5">
      <w:r>
        <w:t xml:space="preserve">The </w:t>
      </w:r>
      <w:r w:rsidR="00E66523">
        <w:t xml:space="preserve">overarching Financial Agreement </w:t>
      </w:r>
      <w:r w:rsidR="00F540E8" w:rsidRPr="00F540E8">
        <w:t>between the V</w:t>
      </w:r>
      <w:r w:rsidR="00F540E8">
        <w:t>anuatu Government and European Union</w:t>
      </w:r>
      <w:r w:rsidR="00F540E8" w:rsidRPr="00F540E8">
        <w:t xml:space="preserve"> </w:t>
      </w:r>
      <w:r w:rsidR="00E66523">
        <w:t>was</w:t>
      </w:r>
      <w:r w:rsidR="00F540E8">
        <w:t xml:space="preserve"> signed</w:t>
      </w:r>
      <w:r w:rsidR="00E66523">
        <w:t xml:space="preserve"> in </w:t>
      </w:r>
      <w:r w:rsidR="0005355D">
        <w:t xml:space="preserve">late </w:t>
      </w:r>
      <w:bookmarkStart w:id="0" w:name="_GoBack"/>
      <w:bookmarkEnd w:id="0"/>
      <w:r w:rsidR="00E66523">
        <w:t xml:space="preserve">2009. The first Programme Estimate for implementation of </w:t>
      </w:r>
      <w:r w:rsidR="0069295B">
        <w:t>the first tranche</w:t>
      </w:r>
      <w:r w:rsidR="00E66523">
        <w:t xml:space="preserve"> of funding was </w:t>
      </w:r>
      <w:r w:rsidR="0069295B">
        <w:t>finalised</w:t>
      </w:r>
      <w:r w:rsidR="00E66523">
        <w:t xml:space="preserve"> in April 2012</w:t>
      </w:r>
      <w:r w:rsidR="0069295B">
        <w:t xml:space="preserve">. A new Program Estimate for enhanced and additional </w:t>
      </w:r>
      <w:r w:rsidR="00E66523">
        <w:t xml:space="preserve">activities to spend </w:t>
      </w:r>
      <w:proofErr w:type="gramStart"/>
      <w:r w:rsidR="00E66523">
        <w:t xml:space="preserve">all of the available funding </w:t>
      </w:r>
      <w:r w:rsidR="0069295B">
        <w:t>(800,000</w:t>
      </w:r>
      <w:proofErr w:type="gramEnd"/>
      <w:r w:rsidR="0069295B">
        <w:t xml:space="preserve"> Euro) </w:t>
      </w:r>
      <w:r w:rsidR="00E66523">
        <w:t>was approved in November 2012</w:t>
      </w:r>
      <w:r w:rsidR="00F540E8">
        <w:t>.</w:t>
      </w:r>
    </w:p>
    <w:sectPr w:rsidR="00204DD8" w:rsidRPr="00204DD8" w:rsidSect="006F4E89">
      <w:headerReference w:type="default" r:id="rId7"/>
      <w:footerReference w:type="default" r:id="rId8"/>
      <w:pgSz w:w="11906" w:h="16838"/>
      <w:pgMar w:top="1418" w:right="1134" w:bottom="1134" w:left="1134" w:header="709" w:footer="27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62D" w:rsidRDefault="0070162D" w:rsidP="002E21F9">
      <w:pPr>
        <w:spacing w:after="0" w:line="240" w:lineRule="auto"/>
      </w:pPr>
      <w:r>
        <w:separator/>
      </w:r>
    </w:p>
  </w:endnote>
  <w:endnote w:type="continuationSeparator" w:id="0">
    <w:p w:rsidR="0070162D" w:rsidRDefault="0070162D" w:rsidP="002E21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086698"/>
      <w:docPartObj>
        <w:docPartGallery w:val="Page Numbers (Bottom of Page)"/>
        <w:docPartUnique/>
      </w:docPartObj>
    </w:sdtPr>
    <w:sdtEndPr>
      <w:rPr>
        <w:noProof/>
      </w:rPr>
    </w:sdtEndPr>
    <w:sdtContent>
      <w:p w:rsidR="006F4E89" w:rsidRDefault="000F0F2D">
        <w:pPr>
          <w:pStyle w:val="Footer"/>
          <w:jc w:val="center"/>
        </w:pPr>
        <w:r>
          <w:fldChar w:fldCharType="begin"/>
        </w:r>
        <w:r w:rsidR="006F4E89">
          <w:instrText xml:space="preserve"> PAGE   \* MERGEFORMAT </w:instrText>
        </w:r>
        <w:r>
          <w:fldChar w:fldCharType="separate"/>
        </w:r>
        <w:r w:rsidR="00B55DE9">
          <w:rPr>
            <w:noProof/>
          </w:rPr>
          <w:t>1</w:t>
        </w:r>
        <w:r>
          <w:rPr>
            <w:noProof/>
          </w:rPr>
          <w:fldChar w:fldCharType="end"/>
        </w:r>
      </w:p>
    </w:sdtContent>
  </w:sdt>
  <w:p w:rsidR="006F4E89" w:rsidRDefault="006F4E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62D" w:rsidRDefault="0070162D" w:rsidP="002E21F9">
      <w:pPr>
        <w:spacing w:after="0" w:line="240" w:lineRule="auto"/>
      </w:pPr>
      <w:r>
        <w:separator/>
      </w:r>
    </w:p>
  </w:footnote>
  <w:footnote w:type="continuationSeparator" w:id="0">
    <w:p w:rsidR="0070162D" w:rsidRDefault="0070162D" w:rsidP="002E21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F9" w:rsidRPr="006F4E89" w:rsidRDefault="002E21F9" w:rsidP="006F4E89">
    <w:pPr>
      <w:pStyle w:val="Header"/>
      <w:tabs>
        <w:tab w:val="clear" w:pos="4513"/>
        <w:tab w:val="clear" w:pos="9026"/>
        <w:tab w:val="right" w:pos="9639"/>
      </w:tabs>
      <w:rPr>
        <w:i/>
        <w:sz w:val="18"/>
        <w:szCs w:val="18"/>
      </w:rPr>
    </w:pPr>
    <w:r w:rsidRPr="006F4E89">
      <w:rPr>
        <w:i/>
        <w:sz w:val="18"/>
        <w:szCs w:val="18"/>
      </w:rPr>
      <w:t>Project brief</w:t>
    </w:r>
    <w:r w:rsidRPr="006F4E89">
      <w:rPr>
        <w:i/>
        <w:sz w:val="18"/>
        <w:szCs w:val="18"/>
      </w:rPr>
      <w:tab/>
    </w:r>
    <w:r w:rsidR="006F4E89" w:rsidRPr="006F4E89">
      <w:rPr>
        <w:i/>
        <w:sz w:val="18"/>
        <w:szCs w:val="18"/>
      </w:rPr>
      <w:t>National Advisory Board on Climate Change and Disaster Risk Reduction</w:t>
    </w:r>
  </w:p>
  <w:p w:rsidR="002E21F9" w:rsidRDefault="002E21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A7038D"/>
    <w:multiLevelType w:val="hybridMultilevel"/>
    <w:tmpl w:val="F4783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7FF3D92"/>
    <w:multiLevelType w:val="hybridMultilevel"/>
    <w:tmpl w:val="B3900BDC"/>
    <w:lvl w:ilvl="0" w:tplc="347CE0EE">
      <w:start w:val="1"/>
      <w:numFmt w:val="decimal"/>
      <w:lvlText w:val="%1."/>
      <w:lvlJc w:val="left"/>
      <w:pPr>
        <w:tabs>
          <w:tab w:val="num" w:pos="720"/>
        </w:tabs>
        <w:ind w:left="720" w:hanging="360"/>
      </w:pPr>
    </w:lvl>
    <w:lvl w:ilvl="1" w:tplc="C07A7D30" w:tentative="1">
      <w:start w:val="1"/>
      <w:numFmt w:val="decimal"/>
      <w:lvlText w:val="%2."/>
      <w:lvlJc w:val="left"/>
      <w:pPr>
        <w:tabs>
          <w:tab w:val="num" w:pos="1440"/>
        </w:tabs>
        <w:ind w:left="1440" w:hanging="360"/>
      </w:pPr>
    </w:lvl>
    <w:lvl w:ilvl="2" w:tplc="0888A28E" w:tentative="1">
      <w:start w:val="1"/>
      <w:numFmt w:val="decimal"/>
      <w:lvlText w:val="%3."/>
      <w:lvlJc w:val="left"/>
      <w:pPr>
        <w:tabs>
          <w:tab w:val="num" w:pos="2160"/>
        </w:tabs>
        <w:ind w:left="2160" w:hanging="360"/>
      </w:pPr>
    </w:lvl>
    <w:lvl w:ilvl="3" w:tplc="A3B4E04C" w:tentative="1">
      <w:start w:val="1"/>
      <w:numFmt w:val="decimal"/>
      <w:lvlText w:val="%4."/>
      <w:lvlJc w:val="left"/>
      <w:pPr>
        <w:tabs>
          <w:tab w:val="num" w:pos="2880"/>
        </w:tabs>
        <w:ind w:left="2880" w:hanging="360"/>
      </w:pPr>
    </w:lvl>
    <w:lvl w:ilvl="4" w:tplc="4B488EA6" w:tentative="1">
      <w:start w:val="1"/>
      <w:numFmt w:val="decimal"/>
      <w:lvlText w:val="%5."/>
      <w:lvlJc w:val="left"/>
      <w:pPr>
        <w:tabs>
          <w:tab w:val="num" w:pos="3600"/>
        </w:tabs>
        <w:ind w:left="3600" w:hanging="360"/>
      </w:pPr>
    </w:lvl>
    <w:lvl w:ilvl="5" w:tplc="D9448B88" w:tentative="1">
      <w:start w:val="1"/>
      <w:numFmt w:val="decimal"/>
      <w:lvlText w:val="%6."/>
      <w:lvlJc w:val="left"/>
      <w:pPr>
        <w:tabs>
          <w:tab w:val="num" w:pos="4320"/>
        </w:tabs>
        <w:ind w:left="4320" w:hanging="360"/>
      </w:pPr>
    </w:lvl>
    <w:lvl w:ilvl="6" w:tplc="52482918" w:tentative="1">
      <w:start w:val="1"/>
      <w:numFmt w:val="decimal"/>
      <w:lvlText w:val="%7."/>
      <w:lvlJc w:val="left"/>
      <w:pPr>
        <w:tabs>
          <w:tab w:val="num" w:pos="5040"/>
        </w:tabs>
        <w:ind w:left="5040" w:hanging="360"/>
      </w:pPr>
    </w:lvl>
    <w:lvl w:ilvl="7" w:tplc="0B38CC6C" w:tentative="1">
      <w:start w:val="1"/>
      <w:numFmt w:val="decimal"/>
      <w:lvlText w:val="%8."/>
      <w:lvlJc w:val="left"/>
      <w:pPr>
        <w:tabs>
          <w:tab w:val="num" w:pos="5760"/>
        </w:tabs>
        <w:ind w:left="5760" w:hanging="360"/>
      </w:pPr>
    </w:lvl>
    <w:lvl w:ilvl="8" w:tplc="081670C6"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204DD8"/>
    <w:rsid w:val="0005355D"/>
    <w:rsid w:val="000B495C"/>
    <w:rsid w:val="000B6046"/>
    <w:rsid w:val="000F0F2D"/>
    <w:rsid w:val="001C32A7"/>
    <w:rsid w:val="00204DD8"/>
    <w:rsid w:val="002760C0"/>
    <w:rsid w:val="00277EAC"/>
    <w:rsid w:val="002B09C3"/>
    <w:rsid w:val="002E21F9"/>
    <w:rsid w:val="003D727F"/>
    <w:rsid w:val="004167D9"/>
    <w:rsid w:val="004F3AD0"/>
    <w:rsid w:val="004F44BD"/>
    <w:rsid w:val="005B7B90"/>
    <w:rsid w:val="006136AF"/>
    <w:rsid w:val="00647FB5"/>
    <w:rsid w:val="00686043"/>
    <w:rsid w:val="0069295B"/>
    <w:rsid w:val="006A60B0"/>
    <w:rsid w:val="006F4E89"/>
    <w:rsid w:val="0070162D"/>
    <w:rsid w:val="007B6E6F"/>
    <w:rsid w:val="007E2DA3"/>
    <w:rsid w:val="00874F56"/>
    <w:rsid w:val="008E553D"/>
    <w:rsid w:val="0090733B"/>
    <w:rsid w:val="0092066B"/>
    <w:rsid w:val="00927038"/>
    <w:rsid w:val="00983A0B"/>
    <w:rsid w:val="00AE0E87"/>
    <w:rsid w:val="00B55DE9"/>
    <w:rsid w:val="00C22B2A"/>
    <w:rsid w:val="00C55950"/>
    <w:rsid w:val="00CD2E2C"/>
    <w:rsid w:val="00CF4DA5"/>
    <w:rsid w:val="00DE4DDC"/>
    <w:rsid w:val="00E10F19"/>
    <w:rsid w:val="00E12FF4"/>
    <w:rsid w:val="00E66523"/>
    <w:rsid w:val="00E91BB5"/>
    <w:rsid w:val="00F540E8"/>
    <w:rsid w:val="00F77B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21F9"/>
    <w:pPr>
      <w:ind w:left="720"/>
      <w:contextualSpacing/>
    </w:pPr>
  </w:style>
  <w:style w:type="paragraph" w:styleId="Header">
    <w:name w:val="header"/>
    <w:basedOn w:val="Normal"/>
    <w:link w:val="HeaderChar"/>
    <w:uiPriority w:val="99"/>
    <w:unhideWhenUsed/>
    <w:rsid w:val="002E2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F9"/>
  </w:style>
  <w:style w:type="paragraph" w:styleId="Footer">
    <w:name w:val="footer"/>
    <w:basedOn w:val="Normal"/>
    <w:link w:val="FooterChar"/>
    <w:uiPriority w:val="99"/>
    <w:unhideWhenUsed/>
    <w:rsid w:val="002E21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F9"/>
  </w:style>
  <w:style w:type="paragraph" w:styleId="BalloonText">
    <w:name w:val="Balloon Text"/>
    <w:basedOn w:val="Normal"/>
    <w:link w:val="BalloonTextChar"/>
    <w:uiPriority w:val="99"/>
    <w:semiHidden/>
    <w:unhideWhenUsed/>
    <w:rsid w:val="002E2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21F9"/>
    <w:pPr>
      <w:ind w:left="720"/>
      <w:contextualSpacing/>
    </w:pPr>
  </w:style>
  <w:style w:type="paragraph" w:styleId="Header">
    <w:name w:val="header"/>
    <w:basedOn w:val="Normal"/>
    <w:link w:val="HeaderChar"/>
    <w:uiPriority w:val="99"/>
    <w:unhideWhenUsed/>
    <w:rsid w:val="002E2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F9"/>
  </w:style>
  <w:style w:type="paragraph" w:styleId="Footer">
    <w:name w:val="footer"/>
    <w:basedOn w:val="Normal"/>
    <w:link w:val="FooterChar"/>
    <w:uiPriority w:val="99"/>
    <w:unhideWhenUsed/>
    <w:rsid w:val="002E21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F9"/>
  </w:style>
  <w:style w:type="paragraph" w:styleId="BalloonText">
    <w:name w:val="Balloon Text"/>
    <w:basedOn w:val="Normal"/>
    <w:link w:val="BalloonTextChar"/>
    <w:uiPriority w:val="99"/>
    <w:semiHidden/>
    <w:unhideWhenUsed/>
    <w:rsid w:val="002E2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8590363">
      <w:bodyDiv w:val="1"/>
      <w:marLeft w:val="0"/>
      <w:marRight w:val="0"/>
      <w:marTop w:val="0"/>
      <w:marBottom w:val="0"/>
      <w:divBdr>
        <w:top w:val="none" w:sz="0" w:space="0" w:color="auto"/>
        <w:left w:val="none" w:sz="0" w:space="0" w:color="auto"/>
        <w:bottom w:val="none" w:sz="0" w:space="0" w:color="auto"/>
        <w:right w:val="none" w:sz="0" w:space="0" w:color="auto"/>
      </w:divBdr>
      <w:divsChild>
        <w:div w:id="581065363">
          <w:marLeft w:val="979"/>
          <w:marRight w:val="0"/>
          <w:marTop w:val="80"/>
          <w:marBottom w:val="0"/>
          <w:divBdr>
            <w:top w:val="none" w:sz="0" w:space="0" w:color="auto"/>
            <w:left w:val="none" w:sz="0" w:space="0" w:color="auto"/>
            <w:bottom w:val="none" w:sz="0" w:space="0" w:color="auto"/>
            <w:right w:val="none" w:sz="0" w:space="0" w:color="auto"/>
          </w:divBdr>
        </w:div>
        <w:div w:id="732047679">
          <w:marLeft w:val="979"/>
          <w:marRight w:val="0"/>
          <w:marTop w:val="80"/>
          <w:marBottom w:val="0"/>
          <w:divBdr>
            <w:top w:val="none" w:sz="0" w:space="0" w:color="auto"/>
            <w:left w:val="none" w:sz="0" w:space="0" w:color="auto"/>
            <w:bottom w:val="none" w:sz="0" w:space="0" w:color="auto"/>
            <w:right w:val="none" w:sz="0" w:space="0" w:color="auto"/>
          </w:divBdr>
        </w:div>
        <w:div w:id="2098624708">
          <w:marLeft w:val="979"/>
          <w:marRight w:val="0"/>
          <w:marTop w:val="80"/>
          <w:marBottom w:val="0"/>
          <w:divBdr>
            <w:top w:val="none" w:sz="0" w:space="0" w:color="auto"/>
            <w:left w:val="none" w:sz="0" w:space="0" w:color="auto"/>
            <w:bottom w:val="none" w:sz="0" w:space="0" w:color="auto"/>
            <w:right w:val="none" w:sz="0" w:space="0" w:color="auto"/>
          </w:divBdr>
        </w:div>
        <w:div w:id="1591230286">
          <w:marLeft w:val="979"/>
          <w:marRight w:val="0"/>
          <w:marTop w:val="80"/>
          <w:marBottom w:val="0"/>
          <w:divBdr>
            <w:top w:val="none" w:sz="0" w:space="0" w:color="auto"/>
            <w:left w:val="none" w:sz="0" w:space="0" w:color="auto"/>
            <w:bottom w:val="none" w:sz="0" w:space="0" w:color="auto"/>
            <w:right w:val="none" w:sz="0" w:space="0" w:color="auto"/>
          </w:divBdr>
        </w:div>
        <w:div w:id="1812021867">
          <w:marLeft w:val="979"/>
          <w:marRight w:val="0"/>
          <w:marTop w:val="80"/>
          <w:marBottom w:val="0"/>
          <w:divBdr>
            <w:top w:val="none" w:sz="0" w:space="0" w:color="auto"/>
            <w:left w:val="none" w:sz="0" w:space="0" w:color="auto"/>
            <w:bottom w:val="none" w:sz="0" w:space="0" w:color="auto"/>
            <w:right w:val="none" w:sz="0" w:space="0" w:color="auto"/>
          </w:divBdr>
        </w:div>
        <w:div w:id="2000764953">
          <w:marLeft w:val="979"/>
          <w:marRight w:val="0"/>
          <w:marTop w:val="80"/>
          <w:marBottom w:val="0"/>
          <w:divBdr>
            <w:top w:val="none" w:sz="0" w:space="0" w:color="auto"/>
            <w:left w:val="none" w:sz="0" w:space="0" w:color="auto"/>
            <w:bottom w:val="none" w:sz="0" w:space="0" w:color="auto"/>
            <w:right w:val="none" w:sz="0" w:space="0" w:color="auto"/>
          </w:divBdr>
        </w:div>
        <w:div w:id="358437791">
          <w:marLeft w:val="979"/>
          <w:marRight w:val="0"/>
          <w:marTop w:val="80"/>
          <w:marBottom w:val="0"/>
          <w:divBdr>
            <w:top w:val="none" w:sz="0" w:space="0" w:color="auto"/>
            <w:left w:val="none" w:sz="0" w:space="0" w:color="auto"/>
            <w:bottom w:val="none" w:sz="0" w:space="0" w:color="auto"/>
            <w:right w:val="none" w:sz="0" w:space="0" w:color="auto"/>
          </w:divBdr>
        </w:div>
        <w:div w:id="301663918">
          <w:marLeft w:val="979"/>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Duffy</dc:creator>
  <cp:lastModifiedBy>ChristopherB</cp:lastModifiedBy>
  <cp:revision>2</cp:revision>
  <dcterms:created xsi:type="dcterms:W3CDTF">2012-12-16T06:05:00Z</dcterms:created>
  <dcterms:modified xsi:type="dcterms:W3CDTF">2012-12-16T06:05:00Z</dcterms:modified>
</cp:coreProperties>
</file>